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63" w:rsidRPr="009C2B42" w:rsidRDefault="00272D63" w:rsidP="00272D63">
      <w:pPr>
        <w:rPr>
          <w:b/>
          <w:sz w:val="28"/>
          <w:szCs w:val="28"/>
        </w:rPr>
      </w:pPr>
    </w:p>
    <w:tbl>
      <w:tblPr>
        <w:tblW w:w="0" w:type="auto"/>
        <w:tblInd w:w="108" w:type="dxa"/>
        <w:tblLook w:val="01E0" w:firstRow="1" w:lastRow="1" w:firstColumn="1" w:lastColumn="1" w:noHBand="0" w:noVBand="0"/>
      </w:tblPr>
      <w:tblGrid>
        <w:gridCol w:w="3720"/>
        <w:gridCol w:w="5458"/>
      </w:tblGrid>
      <w:tr w:rsidR="00272D63" w:rsidRPr="009C2B42" w:rsidTr="00F77BF2">
        <w:tc>
          <w:tcPr>
            <w:tcW w:w="3720" w:type="dxa"/>
            <w:shd w:val="clear" w:color="auto" w:fill="auto"/>
          </w:tcPr>
          <w:p w:rsidR="00272D63" w:rsidRPr="009C2B42" w:rsidRDefault="00272D63" w:rsidP="00F77BF2">
            <w:pPr>
              <w:tabs>
                <w:tab w:val="left" w:pos="6030"/>
              </w:tabs>
              <w:jc w:val="center"/>
              <w:rPr>
                <w:b/>
                <w:sz w:val="28"/>
                <w:szCs w:val="28"/>
              </w:rPr>
            </w:pPr>
            <w:r w:rsidRPr="009C2B42">
              <w:rPr>
                <w:b/>
                <w:sz w:val="28"/>
                <w:szCs w:val="28"/>
              </w:rPr>
              <w:t>TỈNH ỦY HƯNG YÊN</w:t>
            </w:r>
          </w:p>
          <w:p w:rsidR="00272D63" w:rsidRDefault="00272D63" w:rsidP="00F77BF2">
            <w:pPr>
              <w:tabs>
                <w:tab w:val="left" w:pos="6030"/>
              </w:tabs>
              <w:jc w:val="center"/>
              <w:rPr>
                <w:b/>
                <w:sz w:val="28"/>
                <w:szCs w:val="28"/>
              </w:rPr>
            </w:pPr>
            <w:r w:rsidRPr="009C2B42">
              <w:rPr>
                <w:b/>
                <w:sz w:val="28"/>
                <w:szCs w:val="28"/>
              </w:rPr>
              <w:t>*</w:t>
            </w:r>
          </w:p>
          <w:p w:rsidR="00272D63" w:rsidRPr="00A958A6" w:rsidRDefault="00272D63" w:rsidP="00F77BF2">
            <w:pPr>
              <w:tabs>
                <w:tab w:val="left" w:pos="6030"/>
              </w:tabs>
              <w:rPr>
                <w:b/>
                <w:sz w:val="28"/>
                <w:szCs w:val="28"/>
              </w:rPr>
            </w:pPr>
            <w:r>
              <w:rPr>
                <w:sz w:val="28"/>
                <w:szCs w:val="28"/>
              </w:rPr>
              <w:t xml:space="preserve">           </w:t>
            </w:r>
            <w:bookmarkStart w:id="0" w:name="_GoBack"/>
            <w:proofErr w:type="spellStart"/>
            <w:r>
              <w:rPr>
                <w:sz w:val="28"/>
                <w:szCs w:val="28"/>
              </w:rPr>
              <w:t>Số</w:t>
            </w:r>
            <w:proofErr w:type="spellEnd"/>
            <w:r>
              <w:rPr>
                <w:sz w:val="28"/>
                <w:szCs w:val="28"/>
              </w:rPr>
              <w:t xml:space="preserve"> 408</w:t>
            </w:r>
            <w:r w:rsidRPr="009C2B42">
              <w:rPr>
                <w:sz w:val="28"/>
                <w:szCs w:val="28"/>
              </w:rPr>
              <w:t xml:space="preserve">- CV/TU     </w:t>
            </w:r>
            <w:bookmarkEnd w:id="0"/>
          </w:p>
        </w:tc>
        <w:tc>
          <w:tcPr>
            <w:tcW w:w="5458" w:type="dxa"/>
            <w:shd w:val="clear" w:color="auto" w:fill="auto"/>
          </w:tcPr>
          <w:p w:rsidR="00272D63" w:rsidRPr="009C2B42" w:rsidRDefault="00272D63" w:rsidP="00F77BF2">
            <w:pPr>
              <w:tabs>
                <w:tab w:val="left" w:pos="6030"/>
              </w:tabs>
              <w:jc w:val="right"/>
              <w:rPr>
                <w:sz w:val="28"/>
                <w:szCs w:val="28"/>
                <w:u w:val="single"/>
              </w:rPr>
            </w:pPr>
            <w:r w:rsidRPr="009C2B42">
              <w:rPr>
                <w:b/>
                <w:sz w:val="28"/>
                <w:szCs w:val="28"/>
                <w:u w:val="single"/>
              </w:rPr>
              <w:t xml:space="preserve">ĐẢNG CỘNG SẢN VIỆT </w:t>
            </w:r>
            <w:smartTag w:uri="urn:schemas-microsoft-com:office:smarttags" w:element="place">
              <w:smartTag w:uri="urn:schemas-microsoft-com:office:smarttags" w:element="country-region">
                <w:r w:rsidRPr="009C2B42">
                  <w:rPr>
                    <w:b/>
                    <w:sz w:val="28"/>
                    <w:szCs w:val="28"/>
                    <w:u w:val="single"/>
                  </w:rPr>
                  <w:t>NAM</w:t>
                </w:r>
              </w:smartTag>
            </w:smartTag>
          </w:p>
          <w:p w:rsidR="00272D63" w:rsidRPr="009C2B42" w:rsidRDefault="00272D63" w:rsidP="00F77BF2">
            <w:pPr>
              <w:tabs>
                <w:tab w:val="left" w:pos="6030"/>
              </w:tabs>
              <w:rPr>
                <w:i/>
                <w:sz w:val="28"/>
                <w:szCs w:val="28"/>
              </w:rPr>
            </w:pPr>
          </w:p>
          <w:p w:rsidR="00272D63" w:rsidRPr="009C2B42" w:rsidRDefault="00272D63" w:rsidP="00F77BF2">
            <w:pPr>
              <w:tabs>
                <w:tab w:val="left" w:pos="6030"/>
              </w:tabs>
              <w:jc w:val="right"/>
              <w:rPr>
                <w:i/>
                <w:sz w:val="28"/>
                <w:szCs w:val="28"/>
              </w:rPr>
            </w:pPr>
            <w:proofErr w:type="spellStart"/>
            <w:r>
              <w:rPr>
                <w:i/>
                <w:sz w:val="28"/>
                <w:szCs w:val="28"/>
              </w:rPr>
              <w:t>Hưng</w:t>
            </w:r>
            <w:proofErr w:type="spellEnd"/>
            <w:r>
              <w:rPr>
                <w:i/>
                <w:sz w:val="28"/>
                <w:szCs w:val="28"/>
              </w:rPr>
              <w:t xml:space="preserve"> </w:t>
            </w:r>
            <w:proofErr w:type="spellStart"/>
            <w:r>
              <w:rPr>
                <w:i/>
                <w:sz w:val="28"/>
                <w:szCs w:val="28"/>
              </w:rPr>
              <w:t>Yên</w:t>
            </w:r>
            <w:proofErr w:type="spellEnd"/>
            <w:r>
              <w:rPr>
                <w:i/>
                <w:sz w:val="28"/>
                <w:szCs w:val="28"/>
              </w:rPr>
              <w:t xml:space="preserve">, </w:t>
            </w:r>
            <w:proofErr w:type="spellStart"/>
            <w:r>
              <w:rPr>
                <w:i/>
                <w:sz w:val="28"/>
                <w:szCs w:val="28"/>
              </w:rPr>
              <w:t>ngày</w:t>
            </w:r>
            <w:proofErr w:type="spellEnd"/>
            <w:r>
              <w:rPr>
                <w:i/>
                <w:sz w:val="28"/>
                <w:szCs w:val="28"/>
              </w:rPr>
              <w:t xml:space="preserve"> 29</w:t>
            </w:r>
            <w:r w:rsidRPr="009C2B42">
              <w:rPr>
                <w:i/>
                <w:sz w:val="28"/>
                <w:szCs w:val="28"/>
              </w:rPr>
              <w:t xml:space="preserve">  </w:t>
            </w:r>
            <w:proofErr w:type="spellStart"/>
            <w:r w:rsidRPr="009C2B42">
              <w:rPr>
                <w:i/>
                <w:sz w:val="28"/>
                <w:szCs w:val="28"/>
              </w:rPr>
              <w:t>tháng</w:t>
            </w:r>
            <w:proofErr w:type="spellEnd"/>
            <w:r w:rsidRPr="009C2B42">
              <w:rPr>
                <w:i/>
                <w:sz w:val="28"/>
                <w:szCs w:val="28"/>
              </w:rPr>
              <w:t xml:space="preserve"> 9</w:t>
            </w:r>
            <w:r>
              <w:rPr>
                <w:i/>
                <w:sz w:val="28"/>
                <w:szCs w:val="28"/>
              </w:rPr>
              <w:t xml:space="preserve"> </w:t>
            </w:r>
            <w:r w:rsidRPr="009C2B42">
              <w:rPr>
                <w:i/>
                <w:sz w:val="28"/>
                <w:szCs w:val="28"/>
              </w:rPr>
              <w:t xml:space="preserve"> </w:t>
            </w:r>
            <w:proofErr w:type="spellStart"/>
            <w:r w:rsidRPr="009C2B42">
              <w:rPr>
                <w:i/>
                <w:sz w:val="28"/>
                <w:szCs w:val="28"/>
              </w:rPr>
              <w:t>năm</w:t>
            </w:r>
            <w:proofErr w:type="spellEnd"/>
            <w:r w:rsidRPr="009C2B42">
              <w:rPr>
                <w:i/>
                <w:sz w:val="28"/>
                <w:szCs w:val="28"/>
              </w:rPr>
              <w:t xml:space="preserve"> 2016</w:t>
            </w:r>
          </w:p>
        </w:tc>
      </w:tr>
    </w:tbl>
    <w:p w:rsidR="00272D63" w:rsidRPr="009B4488" w:rsidRDefault="00272D63" w:rsidP="00272D63">
      <w:pPr>
        <w:tabs>
          <w:tab w:val="left" w:pos="6030"/>
        </w:tabs>
        <w:rPr>
          <w:i/>
          <w:color w:val="000000"/>
        </w:rPr>
      </w:pPr>
      <w:r w:rsidRPr="009C2B42">
        <w:rPr>
          <w:b/>
          <w:color w:val="000000"/>
          <w:sz w:val="28"/>
          <w:szCs w:val="28"/>
        </w:rPr>
        <w:t xml:space="preserve">   </w:t>
      </w:r>
      <w:r w:rsidRPr="009B4488">
        <w:rPr>
          <w:i/>
          <w:color w:val="000000"/>
        </w:rPr>
        <w:t xml:space="preserve">V/v </w:t>
      </w:r>
      <w:proofErr w:type="spellStart"/>
      <w:r w:rsidRPr="009B4488">
        <w:rPr>
          <w:i/>
          <w:color w:val="000000"/>
        </w:rPr>
        <w:t>tiếp</w:t>
      </w:r>
      <w:proofErr w:type="spellEnd"/>
      <w:r w:rsidRPr="009B4488">
        <w:rPr>
          <w:i/>
          <w:color w:val="000000"/>
        </w:rPr>
        <w:t xml:space="preserve"> </w:t>
      </w:r>
      <w:proofErr w:type="spellStart"/>
      <w:r w:rsidRPr="009B4488">
        <w:rPr>
          <w:i/>
          <w:color w:val="000000"/>
        </w:rPr>
        <w:t>tục</w:t>
      </w:r>
      <w:proofErr w:type="spellEnd"/>
      <w:r w:rsidRPr="009B4488">
        <w:rPr>
          <w:i/>
          <w:color w:val="000000"/>
        </w:rPr>
        <w:t xml:space="preserve"> </w:t>
      </w:r>
      <w:proofErr w:type="spellStart"/>
      <w:r w:rsidRPr="009B4488">
        <w:rPr>
          <w:i/>
          <w:color w:val="000000"/>
        </w:rPr>
        <w:t>thực</w:t>
      </w:r>
      <w:proofErr w:type="spellEnd"/>
      <w:r w:rsidRPr="009B4488">
        <w:rPr>
          <w:i/>
          <w:color w:val="000000"/>
        </w:rPr>
        <w:t xml:space="preserve"> </w:t>
      </w:r>
      <w:proofErr w:type="spellStart"/>
      <w:r w:rsidRPr="009B4488">
        <w:rPr>
          <w:i/>
          <w:color w:val="000000"/>
        </w:rPr>
        <w:t>hiện</w:t>
      </w:r>
      <w:proofErr w:type="spellEnd"/>
      <w:r w:rsidRPr="009B4488">
        <w:rPr>
          <w:i/>
          <w:color w:val="000000"/>
        </w:rPr>
        <w:t xml:space="preserve"> </w:t>
      </w:r>
      <w:proofErr w:type="spellStart"/>
      <w:r w:rsidRPr="009B4488">
        <w:rPr>
          <w:i/>
          <w:color w:val="000000"/>
        </w:rPr>
        <w:t>Chỉ</w:t>
      </w:r>
      <w:proofErr w:type="spellEnd"/>
      <w:r w:rsidRPr="009B4488">
        <w:rPr>
          <w:i/>
          <w:color w:val="000000"/>
        </w:rPr>
        <w:t xml:space="preserve"> </w:t>
      </w:r>
      <w:proofErr w:type="spellStart"/>
      <w:r w:rsidRPr="009B4488">
        <w:rPr>
          <w:i/>
          <w:color w:val="000000"/>
        </w:rPr>
        <w:t>thị</w:t>
      </w:r>
      <w:proofErr w:type="spellEnd"/>
      <w:r w:rsidRPr="009B4488">
        <w:rPr>
          <w:i/>
          <w:color w:val="000000"/>
        </w:rPr>
        <w:t xml:space="preserve"> </w:t>
      </w:r>
      <w:proofErr w:type="spellStart"/>
      <w:r w:rsidRPr="009B4488">
        <w:rPr>
          <w:i/>
          <w:color w:val="000000"/>
        </w:rPr>
        <w:t>số</w:t>
      </w:r>
      <w:proofErr w:type="spellEnd"/>
      <w:r w:rsidRPr="009B4488">
        <w:rPr>
          <w:i/>
          <w:color w:val="000000"/>
        </w:rPr>
        <w:t xml:space="preserve"> 07-CT/TU</w:t>
      </w:r>
    </w:p>
    <w:p w:rsidR="00272D63" w:rsidRPr="009B4488" w:rsidRDefault="00272D63" w:rsidP="00272D63">
      <w:pPr>
        <w:tabs>
          <w:tab w:val="left" w:pos="6030"/>
        </w:tabs>
        <w:rPr>
          <w:i/>
          <w:color w:val="000000"/>
        </w:rPr>
      </w:pPr>
      <w:r w:rsidRPr="009B4488">
        <w:rPr>
          <w:i/>
          <w:color w:val="000000"/>
        </w:rPr>
        <w:t xml:space="preserve">    </w:t>
      </w:r>
      <w:proofErr w:type="spellStart"/>
      <w:proofErr w:type="gramStart"/>
      <w:r w:rsidRPr="009B4488">
        <w:rPr>
          <w:i/>
          <w:color w:val="000000"/>
        </w:rPr>
        <w:t>ngày</w:t>
      </w:r>
      <w:proofErr w:type="spellEnd"/>
      <w:proofErr w:type="gramEnd"/>
      <w:r w:rsidRPr="009B4488">
        <w:rPr>
          <w:i/>
          <w:color w:val="000000"/>
        </w:rPr>
        <w:t xml:space="preserve"> 27/7/2011 </w:t>
      </w:r>
      <w:proofErr w:type="spellStart"/>
      <w:r w:rsidRPr="009B4488">
        <w:rPr>
          <w:i/>
          <w:color w:val="000000"/>
        </w:rPr>
        <w:t>của</w:t>
      </w:r>
      <w:proofErr w:type="spellEnd"/>
      <w:r w:rsidRPr="009B4488">
        <w:rPr>
          <w:i/>
          <w:color w:val="000000"/>
        </w:rPr>
        <w:t xml:space="preserve"> Ban </w:t>
      </w:r>
      <w:proofErr w:type="spellStart"/>
      <w:r w:rsidRPr="009B4488">
        <w:rPr>
          <w:i/>
          <w:color w:val="000000"/>
        </w:rPr>
        <w:t>Thường</w:t>
      </w:r>
      <w:proofErr w:type="spellEnd"/>
      <w:r w:rsidRPr="009B4488">
        <w:rPr>
          <w:i/>
          <w:color w:val="000000"/>
        </w:rPr>
        <w:t xml:space="preserve"> </w:t>
      </w:r>
      <w:proofErr w:type="spellStart"/>
      <w:r w:rsidRPr="009B4488">
        <w:rPr>
          <w:i/>
          <w:color w:val="000000"/>
        </w:rPr>
        <w:t>vụ</w:t>
      </w:r>
      <w:proofErr w:type="spellEnd"/>
      <w:r w:rsidRPr="009B4488">
        <w:rPr>
          <w:i/>
          <w:color w:val="000000"/>
        </w:rPr>
        <w:t xml:space="preserve"> </w:t>
      </w:r>
      <w:proofErr w:type="spellStart"/>
      <w:r w:rsidRPr="009B4488">
        <w:rPr>
          <w:i/>
          <w:color w:val="000000"/>
        </w:rPr>
        <w:t>Tỉnh</w:t>
      </w:r>
      <w:proofErr w:type="spellEnd"/>
      <w:r w:rsidRPr="009B4488">
        <w:rPr>
          <w:i/>
          <w:color w:val="000000"/>
        </w:rPr>
        <w:t xml:space="preserve"> </w:t>
      </w:r>
      <w:proofErr w:type="spellStart"/>
      <w:r w:rsidRPr="009B4488">
        <w:rPr>
          <w:i/>
          <w:color w:val="000000"/>
        </w:rPr>
        <w:t>ủy</w:t>
      </w:r>
      <w:proofErr w:type="spellEnd"/>
      <w:r w:rsidRPr="009B4488">
        <w:rPr>
          <w:i/>
          <w:color w:val="000000"/>
        </w:rPr>
        <w:t xml:space="preserve">    </w:t>
      </w:r>
    </w:p>
    <w:p w:rsidR="00272D63" w:rsidRPr="009C2B42" w:rsidRDefault="00272D63" w:rsidP="00272D63">
      <w:pPr>
        <w:tabs>
          <w:tab w:val="left" w:pos="6030"/>
        </w:tabs>
        <w:rPr>
          <w:i/>
          <w:color w:val="000000"/>
          <w:sz w:val="28"/>
          <w:szCs w:val="28"/>
        </w:rPr>
      </w:pPr>
    </w:p>
    <w:p w:rsidR="00272D63" w:rsidRDefault="00272D63" w:rsidP="00272D63">
      <w:pPr>
        <w:tabs>
          <w:tab w:val="left" w:pos="6030"/>
        </w:tabs>
        <w:rPr>
          <w:b/>
          <w:color w:val="000000"/>
          <w:sz w:val="28"/>
          <w:szCs w:val="28"/>
        </w:rPr>
      </w:pPr>
      <w:r>
        <w:rPr>
          <w:i/>
          <w:color w:val="000000"/>
          <w:sz w:val="28"/>
          <w:szCs w:val="28"/>
        </w:rPr>
        <w:t xml:space="preserve"> </w:t>
      </w:r>
      <w:r w:rsidRPr="009C2B42">
        <w:rPr>
          <w:i/>
          <w:color w:val="000000"/>
          <w:sz w:val="28"/>
          <w:szCs w:val="28"/>
        </w:rPr>
        <w:t xml:space="preserve"> </w:t>
      </w:r>
      <w:proofErr w:type="spellStart"/>
      <w:r w:rsidRPr="009C2B42">
        <w:rPr>
          <w:b/>
          <w:i/>
          <w:color w:val="000000"/>
          <w:sz w:val="28"/>
          <w:szCs w:val="28"/>
        </w:rPr>
        <w:t>Kính</w:t>
      </w:r>
      <w:proofErr w:type="spellEnd"/>
      <w:r w:rsidRPr="009C2B42">
        <w:rPr>
          <w:b/>
          <w:i/>
          <w:color w:val="000000"/>
          <w:sz w:val="28"/>
          <w:szCs w:val="28"/>
        </w:rPr>
        <w:t xml:space="preserve"> </w:t>
      </w:r>
      <w:proofErr w:type="spellStart"/>
      <w:r w:rsidRPr="009C2B42">
        <w:rPr>
          <w:b/>
          <w:i/>
          <w:color w:val="000000"/>
          <w:sz w:val="28"/>
          <w:szCs w:val="28"/>
        </w:rPr>
        <w:t>gửi</w:t>
      </w:r>
      <w:proofErr w:type="spellEnd"/>
      <w:r w:rsidRPr="009C2B42">
        <w:rPr>
          <w:b/>
          <w:i/>
          <w:color w:val="000000"/>
          <w:sz w:val="28"/>
          <w:szCs w:val="28"/>
        </w:rPr>
        <w:t>:</w:t>
      </w:r>
      <w:r>
        <w:rPr>
          <w:b/>
          <w:color w:val="000000"/>
          <w:sz w:val="28"/>
          <w:szCs w:val="28"/>
        </w:rPr>
        <w:t xml:space="preserve"> - </w:t>
      </w:r>
      <w:proofErr w:type="spellStart"/>
      <w:r>
        <w:rPr>
          <w:b/>
          <w:color w:val="000000"/>
          <w:sz w:val="28"/>
          <w:szCs w:val="28"/>
        </w:rPr>
        <w:t>Ủ</w:t>
      </w:r>
      <w:r w:rsidRPr="009C2B42">
        <w:rPr>
          <w:b/>
          <w:color w:val="000000"/>
          <w:sz w:val="28"/>
          <w:szCs w:val="28"/>
        </w:rPr>
        <w:t>y</w:t>
      </w:r>
      <w:proofErr w:type="spellEnd"/>
      <w:r w:rsidRPr="009C2B42">
        <w:rPr>
          <w:b/>
          <w:color w:val="000000"/>
          <w:sz w:val="28"/>
          <w:szCs w:val="28"/>
        </w:rPr>
        <w:t xml:space="preserve"> ban </w:t>
      </w:r>
      <w:proofErr w:type="spellStart"/>
      <w:r w:rsidRPr="009C2B42">
        <w:rPr>
          <w:b/>
          <w:color w:val="000000"/>
          <w:sz w:val="28"/>
          <w:szCs w:val="28"/>
        </w:rPr>
        <w:t>nhân</w:t>
      </w:r>
      <w:proofErr w:type="spellEnd"/>
      <w:r w:rsidRPr="009C2B42">
        <w:rPr>
          <w:b/>
          <w:color w:val="000000"/>
          <w:sz w:val="28"/>
          <w:szCs w:val="28"/>
        </w:rPr>
        <w:t xml:space="preserve"> </w:t>
      </w:r>
      <w:proofErr w:type="spellStart"/>
      <w:r w:rsidRPr="009C2B42">
        <w:rPr>
          <w:b/>
          <w:color w:val="000000"/>
          <w:sz w:val="28"/>
          <w:szCs w:val="28"/>
        </w:rPr>
        <w:t>dân</w:t>
      </w:r>
      <w:proofErr w:type="spellEnd"/>
      <w:r w:rsidRPr="009C2B42">
        <w:rPr>
          <w:b/>
          <w:color w:val="000000"/>
          <w:sz w:val="28"/>
          <w:szCs w:val="28"/>
        </w:rPr>
        <w:t xml:space="preserve"> </w:t>
      </w:r>
      <w:proofErr w:type="spellStart"/>
      <w:r w:rsidRPr="009C2B42">
        <w:rPr>
          <w:b/>
          <w:color w:val="000000"/>
          <w:sz w:val="28"/>
          <w:szCs w:val="28"/>
        </w:rPr>
        <w:t>tỉnh</w:t>
      </w:r>
      <w:proofErr w:type="spellEnd"/>
      <w:r w:rsidRPr="009C2B42">
        <w:rPr>
          <w:b/>
          <w:color w:val="000000"/>
          <w:sz w:val="28"/>
          <w:szCs w:val="28"/>
        </w:rPr>
        <w:t>.</w:t>
      </w:r>
    </w:p>
    <w:p w:rsidR="00272D63" w:rsidRDefault="00272D63" w:rsidP="00272D63">
      <w:pPr>
        <w:tabs>
          <w:tab w:val="left" w:pos="6030"/>
        </w:tabs>
        <w:rPr>
          <w:b/>
          <w:color w:val="000000"/>
          <w:sz w:val="28"/>
          <w:szCs w:val="28"/>
        </w:rPr>
      </w:pPr>
      <w:r>
        <w:rPr>
          <w:b/>
          <w:color w:val="000000"/>
          <w:sz w:val="28"/>
          <w:szCs w:val="28"/>
        </w:rPr>
        <w:t xml:space="preserve">           </w:t>
      </w:r>
      <w:r>
        <w:rPr>
          <w:b/>
          <w:color w:val="000000"/>
          <w:sz w:val="28"/>
          <w:szCs w:val="28"/>
          <w:lang w:val="vi-VN"/>
        </w:rPr>
        <w:t xml:space="preserve"> </w:t>
      </w:r>
      <w:r>
        <w:rPr>
          <w:b/>
          <w:color w:val="000000"/>
          <w:sz w:val="28"/>
          <w:szCs w:val="28"/>
        </w:rPr>
        <w:t xml:space="preserve">   - UBMTTQ </w:t>
      </w:r>
      <w:proofErr w:type="spellStart"/>
      <w:r>
        <w:rPr>
          <w:b/>
          <w:color w:val="000000"/>
          <w:sz w:val="28"/>
          <w:szCs w:val="28"/>
        </w:rPr>
        <w:t>và</w:t>
      </w:r>
      <w:proofErr w:type="spellEnd"/>
      <w:r>
        <w:rPr>
          <w:b/>
          <w:color w:val="000000"/>
          <w:sz w:val="28"/>
          <w:szCs w:val="28"/>
        </w:rPr>
        <w:t xml:space="preserve"> </w:t>
      </w:r>
      <w:proofErr w:type="spellStart"/>
      <w:r>
        <w:rPr>
          <w:b/>
          <w:color w:val="000000"/>
          <w:sz w:val="28"/>
          <w:szCs w:val="28"/>
        </w:rPr>
        <w:t>các</w:t>
      </w:r>
      <w:proofErr w:type="spellEnd"/>
      <w:r>
        <w:rPr>
          <w:b/>
          <w:color w:val="000000"/>
          <w:sz w:val="28"/>
          <w:szCs w:val="28"/>
        </w:rPr>
        <w:t xml:space="preserve"> </w:t>
      </w:r>
      <w:proofErr w:type="spellStart"/>
      <w:proofErr w:type="gramStart"/>
      <w:r>
        <w:rPr>
          <w:b/>
          <w:color w:val="000000"/>
          <w:sz w:val="28"/>
          <w:szCs w:val="28"/>
        </w:rPr>
        <w:t>sở</w:t>
      </w:r>
      <w:proofErr w:type="spellEnd"/>
      <w:r>
        <w:rPr>
          <w:b/>
          <w:color w:val="000000"/>
          <w:sz w:val="28"/>
          <w:szCs w:val="28"/>
        </w:rPr>
        <w:t xml:space="preserve"> ,</w:t>
      </w:r>
      <w:proofErr w:type="gramEnd"/>
      <w:r>
        <w:rPr>
          <w:b/>
          <w:color w:val="000000"/>
          <w:sz w:val="28"/>
          <w:szCs w:val="28"/>
        </w:rPr>
        <w:t xml:space="preserve"> ban, </w:t>
      </w:r>
      <w:proofErr w:type="spellStart"/>
      <w:r>
        <w:rPr>
          <w:b/>
          <w:color w:val="000000"/>
          <w:sz w:val="28"/>
          <w:szCs w:val="28"/>
        </w:rPr>
        <w:t>ngành</w:t>
      </w:r>
      <w:proofErr w:type="spellEnd"/>
      <w:r>
        <w:rPr>
          <w:b/>
          <w:color w:val="000000"/>
          <w:sz w:val="28"/>
          <w:szCs w:val="28"/>
        </w:rPr>
        <w:t xml:space="preserve"> </w:t>
      </w:r>
      <w:proofErr w:type="spellStart"/>
      <w:r>
        <w:rPr>
          <w:b/>
          <w:color w:val="000000"/>
          <w:sz w:val="28"/>
          <w:szCs w:val="28"/>
        </w:rPr>
        <w:t>đoàn</w:t>
      </w:r>
      <w:proofErr w:type="spellEnd"/>
      <w:r>
        <w:rPr>
          <w:b/>
          <w:color w:val="000000"/>
          <w:sz w:val="28"/>
          <w:szCs w:val="28"/>
        </w:rPr>
        <w:t xml:space="preserve"> </w:t>
      </w:r>
      <w:proofErr w:type="spellStart"/>
      <w:r>
        <w:rPr>
          <w:b/>
          <w:color w:val="000000"/>
          <w:sz w:val="28"/>
          <w:szCs w:val="28"/>
        </w:rPr>
        <w:t>thể</w:t>
      </w:r>
      <w:proofErr w:type="spellEnd"/>
      <w:r>
        <w:rPr>
          <w:b/>
          <w:color w:val="000000"/>
          <w:sz w:val="28"/>
          <w:szCs w:val="28"/>
        </w:rPr>
        <w:t xml:space="preserve"> </w:t>
      </w:r>
      <w:proofErr w:type="spellStart"/>
      <w:r>
        <w:rPr>
          <w:b/>
          <w:color w:val="000000"/>
          <w:sz w:val="28"/>
          <w:szCs w:val="28"/>
        </w:rPr>
        <w:t>tỉnh</w:t>
      </w:r>
      <w:proofErr w:type="spellEnd"/>
    </w:p>
    <w:p w:rsidR="00272D63" w:rsidRPr="009C2B42" w:rsidRDefault="00272D63" w:rsidP="00272D63">
      <w:pPr>
        <w:tabs>
          <w:tab w:val="left" w:pos="6030"/>
        </w:tabs>
        <w:rPr>
          <w:b/>
          <w:color w:val="000000"/>
          <w:sz w:val="28"/>
          <w:szCs w:val="28"/>
        </w:rPr>
      </w:pPr>
      <w:r>
        <w:rPr>
          <w:b/>
          <w:color w:val="000000"/>
          <w:sz w:val="28"/>
          <w:szCs w:val="28"/>
        </w:rPr>
        <w:t xml:space="preserve">               - Ban </w:t>
      </w:r>
      <w:proofErr w:type="spellStart"/>
      <w:r>
        <w:rPr>
          <w:b/>
          <w:color w:val="000000"/>
          <w:sz w:val="28"/>
          <w:szCs w:val="28"/>
        </w:rPr>
        <w:t>Thường</w:t>
      </w:r>
      <w:proofErr w:type="spellEnd"/>
      <w:r>
        <w:rPr>
          <w:b/>
          <w:color w:val="000000"/>
          <w:sz w:val="28"/>
          <w:szCs w:val="28"/>
        </w:rPr>
        <w:t xml:space="preserve"> </w:t>
      </w:r>
      <w:proofErr w:type="spellStart"/>
      <w:r>
        <w:rPr>
          <w:b/>
          <w:color w:val="000000"/>
          <w:sz w:val="28"/>
          <w:szCs w:val="28"/>
        </w:rPr>
        <w:t>vụ</w:t>
      </w:r>
      <w:proofErr w:type="spellEnd"/>
      <w:r>
        <w:rPr>
          <w:b/>
          <w:color w:val="000000"/>
          <w:sz w:val="28"/>
          <w:szCs w:val="28"/>
        </w:rPr>
        <w:t xml:space="preserve"> </w:t>
      </w:r>
      <w:proofErr w:type="spellStart"/>
      <w:r>
        <w:rPr>
          <w:b/>
          <w:color w:val="000000"/>
          <w:sz w:val="28"/>
          <w:szCs w:val="28"/>
        </w:rPr>
        <w:t>các</w:t>
      </w:r>
      <w:proofErr w:type="spellEnd"/>
      <w:r>
        <w:rPr>
          <w:b/>
          <w:color w:val="000000"/>
          <w:sz w:val="28"/>
          <w:szCs w:val="28"/>
        </w:rPr>
        <w:t xml:space="preserve"> </w:t>
      </w:r>
      <w:proofErr w:type="spellStart"/>
      <w:r>
        <w:rPr>
          <w:b/>
          <w:color w:val="000000"/>
          <w:sz w:val="28"/>
          <w:szCs w:val="28"/>
        </w:rPr>
        <w:t>huyện</w:t>
      </w:r>
      <w:proofErr w:type="spellEnd"/>
      <w:r>
        <w:rPr>
          <w:b/>
          <w:color w:val="000000"/>
          <w:sz w:val="28"/>
          <w:szCs w:val="28"/>
        </w:rPr>
        <w:t xml:space="preserve">, </w:t>
      </w:r>
      <w:proofErr w:type="spellStart"/>
      <w:r>
        <w:rPr>
          <w:b/>
          <w:color w:val="000000"/>
          <w:sz w:val="28"/>
          <w:szCs w:val="28"/>
        </w:rPr>
        <w:t>thành</w:t>
      </w:r>
      <w:proofErr w:type="spellEnd"/>
      <w:r>
        <w:rPr>
          <w:b/>
          <w:color w:val="000000"/>
          <w:sz w:val="28"/>
          <w:szCs w:val="28"/>
        </w:rPr>
        <w:t xml:space="preserve"> </w:t>
      </w:r>
      <w:proofErr w:type="spellStart"/>
      <w:r>
        <w:rPr>
          <w:b/>
          <w:color w:val="000000"/>
          <w:sz w:val="28"/>
          <w:szCs w:val="28"/>
        </w:rPr>
        <w:t>ủy</w:t>
      </w:r>
      <w:proofErr w:type="spellEnd"/>
      <w:r>
        <w:rPr>
          <w:b/>
          <w:color w:val="000000"/>
          <w:sz w:val="28"/>
          <w:szCs w:val="28"/>
        </w:rPr>
        <w:t xml:space="preserve">, </w:t>
      </w:r>
      <w:proofErr w:type="spellStart"/>
      <w:r>
        <w:rPr>
          <w:b/>
          <w:color w:val="000000"/>
          <w:sz w:val="28"/>
          <w:szCs w:val="28"/>
        </w:rPr>
        <w:t>Đảng</w:t>
      </w:r>
      <w:proofErr w:type="spellEnd"/>
      <w:r>
        <w:rPr>
          <w:b/>
          <w:color w:val="000000"/>
          <w:sz w:val="28"/>
          <w:szCs w:val="28"/>
        </w:rPr>
        <w:t xml:space="preserve"> </w:t>
      </w:r>
      <w:proofErr w:type="spellStart"/>
      <w:r>
        <w:rPr>
          <w:b/>
          <w:color w:val="000000"/>
          <w:sz w:val="28"/>
          <w:szCs w:val="28"/>
        </w:rPr>
        <w:t>ủy</w:t>
      </w:r>
      <w:proofErr w:type="spellEnd"/>
      <w:r>
        <w:rPr>
          <w:b/>
          <w:color w:val="000000"/>
          <w:sz w:val="28"/>
          <w:szCs w:val="28"/>
        </w:rPr>
        <w:t xml:space="preserve"> </w:t>
      </w:r>
      <w:proofErr w:type="spellStart"/>
      <w:proofErr w:type="gramStart"/>
      <w:r>
        <w:rPr>
          <w:b/>
          <w:color w:val="000000"/>
          <w:sz w:val="28"/>
          <w:szCs w:val="28"/>
        </w:rPr>
        <w:t>trực</w:t>
      </w:r>
      <w:proofErr w:type="spellEnd"/>
      <w:r>
        <w:rPr>
          <w:b/>
          <w:color w:val="000000"/>
          <w:sz w:val="28"/>
          <w:szCs w:val="28"/>
        </w:rPr>
        <w:t xml:space="preserve">  </w:t>
      </w:r>
      <w:proofErr w:type="spellStart"/>
      <w:r>
        <w:rPr>
          <w:b/>
          <w:color w:val="000000"/>
          <w:sz w:val="28"/>
          <w:szCs w:val="28"/>
        </w:rPr>
        <w:t>thuộc</w:t>
      </w:r>
      <w:proofErr w:type="spellEnd"/>
      <w:proofErr w:type="gramEnd"/>
      <w:r>
        <w:rPr>
          <w:b/>
          <w:color w:val="000000"/>
          <w:sz w:val="28"/>
          <w:szCs w:val="28"/>
        </w:rPr>
        <w:t xml:space="preserve"> TU     </w:t>
      </w:r>
    </w:p>
    <w:p w:rsidR="00272D63" w:rsidRPr="009C2B42" w:rsidRDefault="00272D63" w:rsidP="00272D63">
      <w:pPr>
        <w:tabs>
          <w:tab w:val="left" w:pos="6030"/>
        </w:tabs>
        <w:rPr>
          <w:color w:val="000000"/>
          <w:sz w:val="28"/>
          <w:szCs w:val="28"/>
        </w:rPr>
      </w:pPr>
      <w:r>
        <w:rPr>
          <w:b/>
          <w:color w:val="000000"/>
          <w:sz w:val="28"/>
          <w:szCs w:val="28"/>
        </w:rPr>
        <w:t xml:space="preserve">               - </w:t>
      </w:r>
      <w:proofErr w:type="spellStart"/>
      <w:r>
        <w:rPr>
          <w:b/>
          <w:color w:val="000000"/>
          <w:sz w:val="28"/>
          <w:szCs w:val="28"/>
        </w:rPr>
        <w:t>Hội</w:t>
      </w:r>
      <w:proofErr w:type="spellEnd"/>
      <w:r>
        <w:rPr>
          <w:b/>
          <w:color w:val="000000"/>
          <w:sz w:val="28"/>
          <w:szCs w:val="28"/>
        </w:rPr>
        <w:t xml:space="preserve"> </w:t>
      </w:r>
      <w:proofErr w:type="spellStart"/>
      <w:r>
        <w:rPr>
          <w:b/>
          <w:color w:val="000000"/>
          <w:sz w:val="28"/>
          <w:szCs w:val="28"/>
        </w:rPr>
        <w:t>Khuyến</w:t>
      </w:r>
      <w:proofErr w:type="spellEnd"/>
      <w:r>
        <w:rPr>
          <w:b/>
          <w:color w:val="000000"/>
          <w:sz w:val="28"/>
          <w:szCs w:val="28"/>
        </w:rPr>
        <w:t xml:space="preserve"> </w:t>
      </w:r>
      <w:proofErr w:type="spellStart"/>
      <w:r>
        <w:rPr>
          <w:b/>
          <w:color w:val="000000"/>
          <w:sz w:val="28"/>
          <w:szCs w:val="28"/>
        </w:rPr>
        <w:t>học</w:t>
      </w:r>
      <w:proofErr w:type="spellEnd"/>
      <w:r>
        <w:rPr>
          <w:b/>
          <w:color w:val="000000"/>
          <w:sz w:val="28"/>
          <w:szCs w:val="28"/>
        </w:rPr>
        <w:t xml:space="preserve"> </w:t>
      </w:r>
      <w:proofErr w:type="spellStart"/>
      <w:r>
        <w:rPr>
          <w:b/>
          <w:color w:val="000000"/>
          <w:sz w:val="28"/>
          <w:szCs w:val="28"/>
        </w:rPr>
        <w:t>tỉnh</w:t>
      </w:r>
      <w:proofErr w:type="spellEnd"/>
      <w:r w:rsidRPr="009C2B42">
        <w:rPr>
          <w:b/>
          <w:color w:val="000000"/>
          <w:sz w:val="28"/>
          <w:szCs w:val="28"/>
        </w:rPr>
        <w:t xml:space="preserve">                                      </w:t>
      </w:r>
      <w:r w:rsidRPr="009C2B42">
        <w:rPr>
          <w:color w:val="000000"/>
          <w:sz w:val="28"/>
          <w:szCs w:val="28"/>
        </w:rPr>
        <w:t>---</w:t>
      </w:r>
      <w:r w:rsidRPr="009C2B42">
        <w:rPr>
          <w:b/>
          <w:color w:val="000000"/>
          <w:sz w:val="28"/>
          <w:szCs w:val="28"/>
        </w:rPr>
        <w:t xml:space="preserve">                                                </w:t>
      </w:r>
    </w:p>
    <w:p w:rsidR="00272D63" w:rsidRPr="009C2B42" w:rsidRDefault="00272D63" w:rsidP="00272D63">
      <w:pPr>
        <w:spacing w:before="120" w:after="120"/>
        <w:jc w:val="both"/>
        <w:rPr>
          <w:sz w:val="28"/>
          <w:szCs w:val="28"/>
        </w:rPr>
      </w:pPr>
      <w:r w:rsidRPr="009C2B42">
        <w:rPr>
          <w:sz w:val="28"/>
          <w:szCs w:val="28"/>
        </w:rPr>
        <w:tab/>
      </w:r>
      <w:proofErr w:type="spellStart"/>
      <w:r w:rsidRPr="009C2B42">
        <w:rPr>
          <w:sz w:val="28"/>
          <w:szCs w:val="28"/>
        </w:rPr>
        <w:t>Xét</w:t>
      </w:r>
      <w:proofErr w:type="spellEnd"/>
      <w:r w:rsidRPr="009C2B42">
        <w:rPr>
          <w:sz w:val="28"/>
          <w:szCs w:val="28"/>
        </w:rPr>
        <w:t xml:space="preserve"> </w:t>
      </w:r>
      <w:proofErr w:type="spellStart"/>
      <w:r w:rsidRPr="009C2B42">
        <w:rPr>
          <w:sz w:val="28"/>
          <w:szCs w:val="28"/>
        </w:rPr>
        <w:t>Báo</w:t>
      </w:r>
      <w:proofErr w:type="spellEnd"/>
      <w:r w:rsidRPr="009C2B42">
        <w:rPr>
          <w:sz w:val="28"/>
          <w:szCs w:val="28"/>
        </w:rPr>
        <w:t xml:space="preserve"> </w:t>
      </w:r>
      <w:proofErr w:type="spellStart"/>
      <w:r w:rsidRPr="009C2B42">
        <w:rPr>
          <w:sz w:val="28"/>
          <w:szCs w:val="28"/>
        </w:rPr>
        <w:t>cáo</w:t>
      </w:r>
      <w:proofErr w:type="spellEnd"/>
      <w:r w:rsidRPr="009C2B42">
        <w:rPr>
          <w:sz w:val="28"/>
          <w:szCs w:val="28"/>
        </w:rPr>
        <w:t xml:space="preserve"> </w:t>
      </w:r>
      <w:proofErr w:type="spellStart"/>
      <w:r w:rsidRPr="009C2B42">
        <w:rPr>
          <w:sz w:val="28"/>
          <w:szCs w:val="28"/>
        </w:rPr>
        <w:t>của</w:t>
      </w:r>
      <w:proofErr w:type="spellEnd"/>
      <w:r w:rsidRPr="009C2B42">
        <w:rPr>
          <w:sz w:val="28"/>
          <w:szCs w:val="28"/>
        </w:rPr>
        <w:t xml:space="preserve"> Ban </w:t>
      </w:r>
      <w:proofErr w:type="spellStart"/>
      <w:r w:rsidRPr="009C2B42">
        <w:rPr>
          <w:sz w:val="28"/>
          <w:szCs w:val="28"/>
        </w:rPr>
        <w:t>Tuyên</w:t>
      </w:r>
      <w:proofErr w:type="spellEnd"/>
      <w:r w:rsidRPr="009C2B42">
        <w:rPr>
          <w:sz w:val="28"/>
          <w:szCs w:val="28"/>
        </w:rPr>
        <w:t xml:space="preserve"> </w:t>
      </w:r>
      <w:proofErr w:type="spellStart"/>
      <w:r w:rsidRPr="009C2B42">
        <w:rPr>
          <w:sz w:val="28"/>
          <w:szCs w:val="28"/>
        </w:rPr>
        <w:t>giáo</w:t>
      </w:r>
      <w:proofErr w:type="spellEnd"/>
      <w:r w:rsidRPr="009C2B42">
        <w:rPr>
          <w:sz w:val="28"/>
          <w:szCs w:val="28"/>
        </w:rPr>
        <w:t xml:space="preserve"> </w:t>
      </w:r>
      <w:proofErr w:type="spellStart"/>
      <w:r w:rsidRPr="009C2B42">
        <w:rPr>
          <w:sz w:val="28"/>
          <w:szCs w:val="28"/>
        </w:rPr>
        <w:t>Tỉnh</w:t>
      </w:r>
      <w:proofErr w:type="spellEnd"/>
      <w:r w:rsidRPr="009C2B42">
        <w:rPr>
          <w:sz w:val="28"/>
          <w:szCs w:val="28"/>
        </w:rPr>
        <w:t xml:space="preserve"> </w:t>
      </w:r>
      <w:proofErr w:type="spellStart"/>
      <w:r w:rsidRPr="009C2B42">
        <w:rPr>
          <w:sz w:val="28"/>
          <w:szCs w:val="28"/>
        </w:rPr>
        <w:t>ủy</w:t>
      </w:r>
      <w:proofErr w:type="spellEnd"/>
      <w:r w:rsidRPr="009C2B42">
        <w:rPr>
          <w:sz w:val="28"/>
          <w:szCs w:val="28"/>
        </w:rPr>
        <w:t xml:space="preserve"> </w:t>
      </w:r>
      <w:proofErr w:type="spellStart"/>
      <w:r w:rsidRPr="009C2B42">
        <w:rPr>
          <w:sz w:val="28"/>
          <w:szCs w:val="28"/>
        </w:rPr>
        <w:t>về</w:t>
      </w:r>
      <w:proofErr w:type="spellEnd"/>
      <w:r w:rsidRPr="009C2B42">
        <w:rPr>
          <w:sz w:val="28"/>
          <w:szCs w:val="28"/>
        </w:rPr>
        <w:t xml:space="preserve"> </w:t>
      </w:r>
      <w:proofErr w:type="spellStart"/>
      <w:r w:rsidRPr="009C2B42">
        <w:rPr>
          <w:sz w:val="28"/>
          <w:szCs w:val="28"/>
        </w:rPr>
        <w:t>kết</w:t>
      </w:r>
      <w:proofErr w:type="spellEnd"/>
      <w:r w:rsidRPr="009C2B42">
        <w:rPr>
          <w:sz w:val="28"/>
          <w:szCs w:val="28"/>
        </w:rPr>
        <w:t xml:space="preserve"> </w:t>
      </w:r>
      <w:proofErr w:type="spellStart"/>
      <w:r w:rsidRPr="009C2B42">
        <w:rPr>
          <w:sz w:val="28"/>
          <w:szCs w:val="28"/>
        </w:rPr>
        <w:t>quả</w:t>
      </w:r>
      <w:proofErr w:type="spellEnd"/>
      <w:r w:rsidRPr="009C2B42">
        <w:rPr>
          <w:sz w:val="28"/>
          <w:szCs w:val="28"/>
        </w:rPr>
        <w:t xml:space="preserve"> 5 </w:t>
      </w:r>
      <w:proofErr w:type="spellStart"/>
      <w:r w:rsidRPr="009C2B42">
        <w:rPr>
          <w:sz w:val="28"/>
          <w:szCs w:val="28"/>
        </w:rPr>
        <w:t>năm</w:t>
      </w:r>
      <w:proofErr w:type="spellEnd"/>
      <w:r w:rsidRPr="009C2B42">
        <w:rPr>
          <w:sz w:val="28"/>
          <w:szCs w:val="28"/>
        </w:rPr>
        <w:t xml:space="preserve"> </w:t>
      </w:r>
      <w:proofErr w:type="spellStart"/>
      <w:r w:rsidRPr="009C2B42">
        <w:rPr>
          <w:sz w:val="28"/>
          <w:szCs w:val="28"/>
        </w:rPr>
        <w:t>thực</w:t>
      </w:r>
      <w:proofErr w:type="spellEnd"/>
      <w:r w:rsidRPr="009C2B42">
        <w:rPr>
          <w:sz w:val="28"/>
          <w:szCs w:val="28"/>
        </w:rPr>
        <w:t xml:space="preserve"> </w:t>
      </w:r>
      <w:proofErr w:type="spellStart"/>
      <w:r w:rsidRPr="009C2B42">
        <w:rPr>
          <w:sz w:val="28"/>
          <w:szCs w:val="28"/>
        </w:rPr>
        <w:t>hiện</w:t>
      </w:r>
      <w:proofErr w:type="spellEnd"/>
      <w:r w:rsidRPr="009C2B42">
        <w:rPr>
          <w:sz w:val="28"/>
          <w:szCs w:val="28"/>
        </w:rPr>
        <w:t xml:space="preserve"> </w:t>
      </w:r>
      <w:proofErr w:type="spellStart"/>
      <w:r w:rsidRPr="009C2B42">
        <w:rPr>
          <w:sz w:val="28"/>
          <w:szCs w:val="28"/>
        </w:rPr>
        <w:t>Chỉ</w:t>
      </w:r>
      <w:proofErr w:type="spellEnd"/>
      <w:r w:rsidRPr="009C2B42">
        <w:rPr>
          <w:sz w:val="28"/>
          <w:szCs w:val="28"/>
        </w:rPr>
        <w:t xml:space="preserve"> </w:t>
      </w:r>
      <w:proofErr w:type="spellStart"/>
      <w:r w:rsidRPr="009C2B42">
        <w:rPr>
          <w:sz w:val="28"/>
          <w:szCs w:val="28"/>
        </w:rPr>
        <w:t>thị</w:t>
      </w:r>
      <w:proofErr w:type="spellEnd"/>
      <w:r w:rsidRPr="009C2B42">
        <w:rPr>
          <w:sz w:val="28"/>
          <w:szCs w:val="28"/>
        </w:rPr>
        <w:t xml:space="preserve"> </w:t>
      </w:r>
      <w:proofErr w:type="spellStart"/>
      <w:r w:rsidRPr="009C2B42">
        <w:rPr>
          <w:sz w:val="28"/>
          <w:szCs w:val="28"/>
        </w:rPr>
        <w:t>số</w:t>
      </w:r>
      <w:proofErr w:type="spellEnd"/>
      <w:r w:rsidRPr="009C2B42">
        <w:rPr>
          <w:sz w:val="28"/>
          <w:szCs w:val="28"/>
        </w:rPr>
        <w:t xml:space="preserve"> 07 - CT/TU </w:t>
      </w:r>
      <w:proofErr w:type="spellStart"/>
      <w:r w:rsidRPr="009C2B42">
        <w:rPr>
          <w:sz w:val="28"/>
          <w:szCs w:val="28"/>
        </w:rPr>
        <w:t>ngày</w:t>
      </w:r>
      <w:proofErr w:type="spellEnd"/>
      <w:r w:rsidRPr="009C2B42">
        <w:rPr>
          <w:sz w:val="28"/>
          <w:szCs w:val="28"/>
        </w:rPr>
        <w:t xml:space="preserve"> 27/7/2011 </w:t>
      </w:r>
      <w:proofErr w:type="spellStart"/>
      <w:r w:rsidRPr="009C2B42">
        <w:rPr>
          <w:sz w:val="28"/>
          <w:szCs w:val="28"/>
        </w:rPr>
        <w:t>của</w:t>
      </w:r>
      <w:proofErr w:type="spellEnd"/>
      <w:r w:rsidRPr="009C2B42">
        <w:rPr>
          <w:sz w:val="28"/>
          <w:szCs w:val="28"/>
        </w:rPr>
        <w:t xml:space="preserve"> Ban </w:t>
      </w:r>
      <w:proofErr w:type="spellStart"/>
      <w:r w:rsidRPr="009C2B42">
        <w:rPr>
          <w:sz w:val="28"/>
          <w:szCs w:val="28"/>
        </w:rPr>
        <w:t>Thường</w:t>
      </w:r>
      <w:proofErr w:type="spellEnd"/>
      <w:r w:rsidRPr="009C2B42">
        <w:rPr>
          <w:sz w:val="28"/>
          <w:szCs w:val="28"/>
        </w:rPr>
        <w:t xml:space="preserve"> </w:t>
      </w:r>
      <w:proofErr w:type="spellStart"/>
      <w:r w:rsidRPr="009C2B42">
        <w:rPr>
          <w:sz w:val="28"/>
          <w:szCs w:val="28"/>
        </w:rPr>
        <w:t>vụ</w:t>
      </w:r>
      <w:proofErr w:type="spellEnd"/>
      <w:r w:rsidRPr="009C2B42">
        <w:rPr>
          <w:sz w:val="28"/>
          <w:szCs w:val="28"/>
        </w:rPr>
        <w:t xml:space="preserve"> </w:t>
      </w:r>
      <w:proofErr w:type="spellStart"/>
      <w:r w:rsidRPr="009C2B42">
        <w:rPr>
          <w:sz w:val="28"/>
          <w:szCs w:val="28"/>
        </w:rPr>
        <w:t>Tỉnh</w:t>
      </w:r>
      <w:proofErr w:type="spellEnd"/>
      <w:r w:rsidRPr="009C2B42">
        <w:rPr>
          <w:sz w:val="28"/>
          <w:szCs w:val="28"/>
        </w:rPr>
        <w:t xml:space="preserve"> </w:t>
      </w:r>
      <w:proofErr w:type="spellStart"/>
      <w:r w:rsidRPr="009C2B42">
        <w:rPr>
          <w:sz w:val="28"/>
          <w:szCs w:val="28"/>
        </w:rPr>
        <w:t>ủy</w:t>
      </w:r>
      <w:proofErr w:type="spellEnd"/>
      <w:r w:rsidRPr="009C2B42">
        <w:rPr>
          <w:sz w:val="28"/>
          <w:szCs w:val="28"/>
        </w:rPr>
        <w:t xml:space="preserve"> </w:t>
      </w:r>
      <w:proofErr w:type="spellStart"/>
      <w:r w:rsidRPr="009C2B42">
        <w:rPr>
          <w:sz w:val="28"/>
          <w:szCs w:val="28"/>
        </w:rPr>
        <w:t>về</w:t>
      </w:r>
      <w:proofErr w:type="spellEnd"/>
      <w:r w:rsidRPr="009C2B42">
        <w:rPr>
          <w:sz w:val="28"/>
          <w:szCs w:val="28"/>
        </w:rPr>
        <w:t xml:space="preserve"> </w:t>
      </w:r>
      <w:proofErr w:type="spellStart"/>
      <w:r w:rsidRPr="009C2B42">
        <w:rPr>
          <w:sz w:val="28"/>
          <w:szCs w:val="28"/>
        </w:rPr>
        <w:t>tiếp</w:t>
      </w:r>
      <w:proofErr w:type="spellEnd"/>
      <w:r w:rsidRPr="009C2B42">
        <w:rPr>
          <w:sz w:val="28"/>
          <w:szCs w:val="28"/>
        </w:rPr>
        <w:t xml:space="preserve"> </w:t>
      </w:r>
      <w:proofErr w:type="spellStart"/>
      <w:r w:rsidRPr="009C2B42">
        <w:rPr>
          <w:sz w:val="28"/>
          <w:szCs w:val="28"/>
        </w:rPr>
        <w:t>tục</w:t>
      </w:r>
      <w:proofErr w:type="spellEnd"/>
      <w:r w:rsidRPr="009C2B42">
        <w:rPr>
          <w:sz w:val="28"/>
          <w:szCs w:val="28"/>
        </w:rPr>
        <w:t xml:space="preserve"> </w:t>
      </w:r>
      <w:proofErr w:type="spellStart"/>
      <w:r w:rsidRPr="009C2B42">
        <w:rPr>
          <w:sz w:val="28"/>
          <w:szCs w:val="28"/>
        </w:rPr>
        <w:t>đẩy</w:t>
      </w:r>
      <w:proofErr w:type="spellEnd"/>
      <w:r w:rsidRPr="009C2B42">
        <w:rPr>
          <w:sz w:val="28"/>
          <w:szCs w:val="28"/>
        </w:rPr>
        <w:t xml:space="preserve"> </w:t>
      </w:r>
      <w:proofErr w:type="spellStart"/>
      <w:r w:rsidRPr="009C2B42">
        <w:rPr>
          <w:sz w:val="28"/>
          <w:szCs w:val="28"/>
        </w:rPr>
        <w:t>mạnh</w:t>
      </w:r>
      <w:proofErr w:type="spellEnd"/>
      <w:r w:rsidRPr="009C2B42">
        <w:rPr>
          <w:sz w:val="28"/>
          <w:szCs w:val="28"/>
        </w:rPr>
        <w:t xml:space="preserve"> </w:t>
      </w:r>
      <w:proofErr w:type="spellStart"/>
      <w:r w:rsidRPr="009C2B42">
        <w:rPr>
          <w:sz w:val="28"/>
          <w:szCs w:val="28"/>
        </w:rPr>
        <w:t>công</w:t>
      </w:r>
      <w:proofErr w:type="spellEnd"/>
      <w:r w:rsidRPr="009C2B42">
        <w:rPr>
          <w:sz w:val="28"/>
          <w:szCs w:val="28"/>
        </w:rPr>
        <w:t xml:space="preserve"> </w:t>
      </w:r>
      <w:proofErr w:type="spellStart"/>
      <w:r w:rsidRPr="009C2B42">
        <w:rPr>
          <w:sz w:val="28"/>
          <w:szCs w:val="28"/>
        </w:rPr>
        <w:t>tác</w:t>
      </w:r>
      <w:proofErr w:type="spellEnd"/>
      <w:r w:rsidRPr="009C2B42">
        <w:rPr>
          <w:sz w:val="28"/>
          <w:szCs w:val="28"/>
        </w:rPr>
        <w:t xml:space="preserve"> </w:t>
      </w:r>
      <w:proofErr w:type="spellStart"/>
      <w:r w:rsidRPr="009C2B42">
        <w:rPr>
          <w:sz w:val="28"/>
          <w:szCs w:val="28"/>
        </w:rPr>
        <w:t>khuyến</w:t>
      </w:r>
      <w:proofErr w:type="spellEnd"/>
      <w:r w:rsidRPr="009C2B42">
        <w:rPr>
          <w:sz w:val="28"/>
          <w:szCs w:val="28"/>
        </w:rPr>
        <w:t xml:space="preserve"> </w:t>
      </w:r>
      <w:proofErr w:type="spellStart"/>
      <w:r w:rsidRPr="009C2B42">
        <w:rPr>
          <w:sz w:val="28"/>
          <w:szCs w:val="28"/>
        </w:rPr>
        <w:t>học</w:t>
      </w:r>
      <w:proofErr w:type="spellEnd"/>
      <w:r w:rsidRPr="009C2B42">
        <w:rPr>
          <w:sz w:val="28"/>
          <w:szCs w:val="28"/>
        </w:rPr>
        <w:t xml:space="preserve">, </w:t>
      </w:r>
      <w:proofErr w:type="spellStart"/>
      <w:r w:rsidRPr="009C2B42">
        <w:rPr>
          <w:sz w:val="28"/>
          <w:szCs w:val="28"/>
        </w:rPr>
        <w:t>khuyến</w:t>
      </w:r>
      <w:proofErr w:type="spellEnd"/>
      <w:r w:rsidRPr="009C2B42">
        <w:rPr>
          <w:sz w:val="28"/>
          <w:szCs w:val="28"/>
        </w:rPr>
        <w:t xml:space="preserve"> </w:t>
      </w:r>
      <w:proofErr w:type="spellStart"/>
      <w:r w:rsidRPr="009C2B42">
        <w:rPr>
          <w:sz w:val="28"/>
          <w:szCs w:val="28"/>
        </w:rPr>
        <w:t>tài</w:t>
      </w:r>
      <w:proofErr w:type="spellEnd"/>
      <w:r w:rsidRPr="009C2B42">
        <w:rPr>
          <w:sz w:val="28"/>
          <w:szCs w:val="28"/>
        </w:rPr>
        <w:t xml:space="preserve">, </w:t>
      </w:r>
      <w:proofErr w:type="spellStart"/>
      <w:r w:rsidRPr="009C2B42">
        <w:rPr>
          <w:sz w:val="28"/>
          <w:szCs w:val="28"/>
        </w:rPr>
        <w:t>xây</w:t>
      </w:r>
      <w:proofErr w:type="spellEnd"/>
      <w:r w:rsidRPr="009C2B42">
        <w:rPr>
          <w:sz w:val="28"/>
          <w:szCs w:val="28"/>
        </w:rPr>
        <w:t xml:space="preserve"> </w:t>
      </w:r>
      <w:proofErr w:type="spellStart"/>
      <w:r w:rsidRPr="009C2B42">
        <w:rPr>
          <w:sz w:val="28"/>
          <w:szCs w:val="28"/>
        </w:rPr>
        <w:t>dựng</w:t>
      </w:r>
      <w:proofErr w:type="spellEnd"/>
      <w:r w:rsidRPr="009C2B42">
        <w:rPr>
          <w:sz w:val="28"/>
          <w:szCs w:val="28"/>
        </w:rPr>
        <w:t xml:space="preserve"> </w:t>
      </w:r>
      <w:proofErr w:type="spellStart"/>
      <w:r w:rsidRPr="009C2B42">
        <w:rPr>
          <w:sz w:val="28"/>
          <w:szCs w:val="28"/>
        </w:rPr>
        <w:t>xã</w:t>
      </w:r>
      <w:proofErr w:type="spellEnd"/>
      <w:r w:rsidRPr="009C2B42">
        <w:rPr>
          <w:sz w:val="28"/>
          <w:szCs w:val="28"/>
        </w:rPr>
        <w:t xml:space="preserve"> </w:t>
      </w:r>
      <w:proofErr w:type="spellStart"/>
      <w:r w:rsidRPr="009C2B42">
        <w:rPr>
          <w:sz w:val="28"/>
          <w:szCs w:val="28"/>
        </w:rPr>
        <w:t>hội</w:t>
      </w:r>
      <w:proofErr w:type="spellEnd"/>
      <w:r w:rsidRPr="009C2B42">
        <w:rPr>
          <w:sz w:val="28"/>
          <w:szCs w:val="28"/>
        </w:rPr>
        <w:t xml:space="preserve"> </w:t>
      </w:r>
      <w:proofErr w:type="spellStart"/>
      <w:r w:rsidRPr="009C2B42">
        <w:rPr>
          <w:sz w:val="28"/>
          <w:szCs w:val="28"/>
        </w:rPr>
        <w:t>học</w:t>
      </w:r>
      <w:proofErr w:type="spellEnd"/>
      <w:r w:rsidRPr="009C2B42">
        <w:rPr>
          <w:sz w:val="28"/>
          <w:szCs w:val="28"/>
        </w:rPr>
        <w:t xml:space="preserve"> </w:t>
      </w:r>
      <w:proofErr w:type="spellStart"/>
      <w:r w:rsidRPr="009C2B42">
        <w:rPr>
          <w:sz w:val="28"/>
          <w:szCs w:val="28"/>
        </w:rPr>
        <w:t>tập</w:t>
      </w:r>
      <w:proofErr w:type="spellEnd"/>
      <w:r w:rsidRPr="009C2B42">
        <w:rPr>
          <w:sz w:val="28"/>
          <w:szCs w:val="28"/>
        </w:rPr>
        <w:t xml:space="preserve"> (</w:t>
      </w:r>
      <w:proofErr w:type="spellStart"/>
      <w:r w:rsidRPr="009C2B42">
        <w:rPr>
          <w:sz w:val="28"/>
          <w:szCs w:val="28"/>
        </w:rPr>
        <w:t>Báo</w:t>
      </w:r>
      <w:proofErr w:type="spellEnd"/>
      <w:r w:rsidRPr="009C2B42">
        <w:rPr>
          <w:sz w:val="28"/>
          <w:szCs w:val="28"/>
        </w:rPr>
        <w:t xml:space="preserve"> </w:t>
      </w:r>
      <w:proofErr w:type="spellStart"/>
      <w:r w:rsidRPr="009C2B42">
        <w:rPr>
          <w:sz w:val="28"/>
          <w:szCs w:val="28"/>
        </w:rPr>
        <w:t>cáo</w:t>
      </w:r>
      <w:proofErr w:type="spellEnd"/>
      <w:r w:rsidRPr="009C2B42">
        <w:rPr>
          <w:sz w:val="28"/>
          <w:szCs w:val="28"/>
        </w:rPr>
        <w:t xml:space="preserve"> </w:t>
      </w:r>
      <w:proofErr w:type="spellStart"/>
      <w:r w:rsidRPr="009C2B42">
        <w:rPr>
          <w:sz w:val="28"/>
          <w:szCs w:val="28"/>
        </w:rPr>
        <w:t>số</w:t>
      </w:r>
      <w:proofErr w:type="spellEnd"/>
      <w:r w:rsidRPr="009C2B42">
        <w:rPr>
          <w:sz w:val="28"/>
          <w:szCs w:val="28"/>
        </w:rPr>
        <w:t xml:space="preserve"> 58-BC/BTGTU </w:t>
      </w:r>
      <w:proofErr w:type="spellStart"/>
      <w:r w:rsidRPr="009C2B42">
        <w:rPr>
          <w:sz w:val="28"/>
          <w:szCs w:val="28"/>
        </w:rPr>
        <w:t>ngày</w:t>
      </w:r>
      <w:proofErr w:type="spellEnd"/>
      <w:r w:rsidRPr="009C2B42">
        <w:rPr>
          <w:sz w:val="28"/>
          <w:szCs w:val="28"/>
        </w:rPr>
        <w:t xml:space="preserve"> 23/6/2016) Ban </w:t>
      </w:r>
      <w:proofErr w:type="spellStart"/>
      <w:r w:rsidRPr="009C2B42">
        <w:rPr>
          <w:sz w:val="28"/>
          <w:szCs w:val="28"/>
        </w:rPr>
        <w:t>Thường</w:t>
      </w:r>
      <w:proofErr w:type="spellEnd"/>
      <w:r w:rsidRPr="009C2B42">
        <w:rPr>
          <w:sz w:val="28"/>
          <w:szCs w:val="28"/>
        </w:rPr>
        <w:t xml:space="preserve"> </w:t>
      </w:r>
      <w:proofErr w:type="spellStart"/>
      <w:r w:rsidRPr="009C2B42">
        <w:rPr>
          <w:sz w:val="28"/>
          <w:szCs w:val="28"/>
        </w:rPr>
        <w:t>vụ</w:t>
      </w:r>
      <w:proofErr w:type="spellEnd"/>
      <w:r w:rsidRPr="009C2B42">
        <w:rPr>
          <w:sz w:val="28"/>
          <w:szCs w:val="28"/>
        </w:rPr>
        <w:t xml:space="preserve"> </w:t>
      </w:r>
      <w:proofErr w:type="spellStart"/>
      <w:r w:rsidRPr="009C2B42">
        <w:rPr>
          <w:sz w:val="28"/>
          <w:szCs w:val="28"/>
        </w:rPr>
        <w:t>Tỉnh</w:t>
      </w:r>
      <w:proofErr w:type="spellEnd"/>
      <w:r w:rsidRPr="009C2B42">
        <w:rPr>
          <w:sz w:val="28"/>
          <w:szCs w:val="28"/>
        </w:rPr>
        <w:t xml:space="preserve"> </w:t>
      </w:r>
      <w:proofErr w:type="spellStart"/>
      <w:r w:rsidRPr="009C2B42">
        <w:rPr>
          <w:sz w:val="28"/>
          <w:szCs w:val="28"/>
        </w:rPr>
        <w:t>ủy</w:t>
      </w:r>
      <w:proofErr w:type="spellEnd"/>
      <w:r w:rsidRPr="009C2B42">
        <w:rPr>
          <w:sz w:val="28"/>
          <w:szCs w:val="28"/>
        </w:rPr>
        <w:t xml:space="preserve"> </w:t>
      </w:r>
      <w:proofErr w:type="spellStart"/>
      <w:r w:rsidRPr="009C2B42">
        <w:rPr>
          <w:sz w:val="28"/>
          <w:szCs w:val="28"/>
        </w:rPr>
        <w:t>có</w:t>
      </w:r>
      <w:proofErr w:type="spellEnd"/>
      <w:r w:rsidRPr="009C2B42">
        <w:rPr>
          <w:sz w:val="28"/>
          <w:szCs w:val="28"/>
        </w:rPr>
        <w:t xml:space="preserve"> ý </w:t>
      </w:r>
      <w:proofErr w:type="spellStart"/>
      <w:r w:rsidRPr="009C2B42">
        <w:rPr>
          <w:sz w:val="28"/>
          <w:szCs w:val="28"/>
        </w:rPr>
        <w:t>kiến</w:t>
      </w:r>
      <w:proofErr w:type="spellEnd"/>
      <w:r w:rsidRPr="009C2B42">
        <w:rPr>
          <w:sz w:val="28"/>
          <w:szCs w:val="28"/>
        </w:rPr>
        <w:t xml:space="preserve"> </w:t>
      </w:r>
      <w:proofErr w:type="spellStart"/>
      <w:r w:rsidRPr="009C2B42">
        <w:rPr>
          <w:sz w:val="28"/>
          <w:szCs w:val="28"/>
        </w:rPr>
        <w:t>như</w:t>
      </w:r>
      <w:proofErr w:type="spellEnd"/>
      <w:r w:rsidRPr="009C2B42">
        <w:rPr>
          <w:sz w:val="28"/>
          <w:szCs w:val="28"/>
        </w:rPr>
        <w:t xml:space="preserve"> </w:t>
      </w:r>
      <w:proofErr w:type="spellStart"/>
      <w:r w:rsidRPr="009C2B42">
        <w:rPr>
          <w:sz w:val="28"/>
          <w:szCs w:val="28"/>
        </w:rPr>
        <w:t>sau</w:t>
      </w:r>
      <w:proofErr w:type="spellEnd"/>
      <w:r w:rsidRPr="009C2B42">
        <w:rPr>
          <w:sz w:val="28"/>
          <w:szCs w:val="28"/>
        </w:rPr>
        <w:t>:</w:t>
      </w:r>
    </w:p>
    <w:p w:rsidR="00272D63" w:rsidRPr="009C2B42" w:rsidRDefault="00272D63" w:rsidP="00272D63">
      <w:pPr>
        <w:spacing w:before="120" w:after="120"/>
        <w:ind w:firstLine="720"/>
        <w:jc w:val="both"/>
        <w:rPr>
          <w:sz w:val="28"/>
          <w:szCs w:val="28"/>
        </w:rPr>
      </w:pPr>
      <w:r w:rsidRPr="009C2B42">
        <w:rPr>
          <w:b/>
          <w:sz w:val="28"/>
          <w:szCs w:val="28"/>
        </w:rPr>
        <w:t xml:space="preserve">I - </w:t>
      </w:r>
      <w:proofErr w:type="spellStart"/>
      <w:r w:rsidRPr="009C2B42">
        <w:rPr>
          <w:b/>
          <w:sz w:val="28"/>
          <w:szCs w:val="28"/>
        </w:rPr>
        <w:t>Kết</w:t>
      </w:r>
      <w:proofErr w:type="spellEnd"/>
      <w:r w:rsidRPr="009C2B42">
        <w:rPr>
          <w:b/>
          <w:sz w:val="28"/>
          <w:szCs w:val="28"/>
        </w:rPr>
        <w:t xml:space="preserve"> </w:t>
      </w:r>
      <w:proofErr w:type="spellStart"/>
      <w:r w:rsidRPr="009C2B42">
        <w:rPr>
          <w:b/>
          <w:sz w:val="28"/>
          <w:szCs w:val="28"/>
        </w:rPr>
        <w:t>quả</w:t>
      </w:r>
      <w:proofErr w:type="spellEnd"/>
      <w:r w:rsidRPr="009C2B42">
        <w:rPr>
          <w:b/>
          <w:sz w:val="28"/>
          <w:szCs w:val="28"/>
        </w:rPr>
        <w:t xml:space="preserve"> </w:t>
      </w:r>
      <w:proofErr w:type="spellStart"/>
      <w:r w:rsidRPr="009C2B42">
        <w:rPr>
          <w:b/>
          <w:sz w:val="28"/>
          <w:szCs w:val="28"/>
        </w:rPr>
        <w:t>thực</w:t>
      </w:r>
      <w:proofErr w:type="spellEnd"/>
      <w:r w:rsidRPr="009C2B42">
        <w:rPr>
          <w:b/>
          <w:sz w:val="28"/>
          <w:szCs w:val="28"/>
        </w:rPr>
        <w:t xml:space="preserve"> </w:t>
      </w:r>
      <w:proofErr w:type="spellStart"/>
      <w:r w:rsidRPr="009C2B42">
        <w:rPr>
          <w:b/>
          <w:sz w:val="28"/>
          <w:szCs w:val="28"/>
        </w:rPr>
        <w:t>hiện</w:t>
      </w:r>
      <w:proofErr w:type="spellEnd"/>
      <w:r w:rsidRPr="009C2B42">
        <w:rPr>
          <w:b/>
          <w:sz w:val="28"/>
          <w:szCs w:val="28"/>
        </w:rPr>
        <w:t xml:space="preserve"> </w:t>
      </w:r>
      <w:proofErr w:type="spellStart"/>
      <w:r w:rsidRPr="009C2B42">
        <w:rPr>
          <w:b/>
          <w:sz w:val="28"/>
          <w:szCs w:val="28"/>
        </w:rPr>
        <w:t>Chỉ</w:t>
      </w:r>
      <w:proofErr w:type="spellEnd"/>
      <w:r w:rsidRPr="009C2B42">
        <w:rPr>
          <w:b/>
          <w:sz w:val="28"/>
          <w:szCs w:val="28"/>
        </w:rPr>
        <w:t xml:space="preserve"> </w:t>
      </w:r>
      <w:proofErr w:type="spellStart"/>
      <w:r w:rsidRPr="009C2B42">
        <w:rPr>
          <w:b/>
          <w:sz w:val="28"/>
          <w:szCs w:val="28"/>
        </w:rPr>
        <w:t>thị</w:t>
      </w:r>
      <w:proofErr w:type="spellEnd"/>
    </w:p>
    <w:p w:rsidR="00272D63" w:rsidRPr="009C2B42" w:rsidRDefault="00272D63" w:rsidP="00272D63">
      <w:pPr>
        <w:spacing w:before="120" w:after="120"/>
        <w:ind w:firstLine="720"/>
        <w:jc w:val="both"/>
        <w:rPr>
          <w:color w:val="000000"/>
          <w:sz w:val="28"/>
          <w:szCs w:val="28"/>
          <w:lang w:val="nl-NL"/>
        </w:rPr>
      </w:pPr>
      <w:proofErr w:type="spellStart"/>
      <w:r w:rsidRPr="009C2B42">
        <w:rPr>
          <w:color w:val="000000"/>
          <w:sz w:val="28"/>
          <w:szCs w:val="28"/>
        </w:rPr>
        <w:t>Sau</w:t>
      </w:r>
      <w:proofErr w:type="spellEnd"/>
      <w:r w:rsidRPr="009C2B42">
        <w:rPr>
          <w:color w:val="000000"/>
          <w:sz w:val="28"/>
          <w:szCs w:val="28"/>
        </w:rPr>
        <w:t xml:space="preserve"> 5 </w:t>
      </w:r>
      <w:proofErr w:type="spellStart"/>
      <w:r w:rsidRPr="009C2B42">
        <w:rPr>
          <w:color w:val="000000"/>
          <w:sz w:val="28"/>
          <w:szCs w:val="28"/>
        </w:rPr>
        <w:t>năm</w:t>
      </w:r>
      <w:proofErr w:type="spellEnd"/>
      <w:r w:rsidRPr="009C2B42">
        <w:rPr>
          <w:color w:val="000000"/>
          <w:sz w:val="28"/>
          <w:szCs w:val="28"/>
        </w:rPr>
        <w:t xml:space="preserve"> </w:t>
      </w:r>
      <w:proofErr w:type="spellStart"/>
      <w:r w:rsidRPr="009C2B42">
        <w:rPr>
          <w:color w:val="000000"/>
          <w:sz w:val="28"/>
          <w:szCs w:val="28"/>
        </w:rPr>
        <w:t>thực</w:t>
      </w:r>
      <w:proofErr w:type="spellEnd"/>
      <w:r w:rsidRPr="009C2B42">
        <w:rPr>
          <w:color w:val="000000"/>
          <w:sz w:val="28"/>
          <w:szCs w:val="28"/>
        </w:rPr>
        <w:t xml:space="preserve"> </w:t>
      </w:r>
      <w:proofErr w:type="spellStart"/>
      <w:r w:rsidRPr="009C2B42">
        <w:rPr>
          <w:color w:val="000000"/>
          <w:sz w:val="28"/>
          <w:szCs w:val="28"/>
        </w:rPr>
        <w:t>hiện</w:t>
      </w:r>
      <w:proofErr w:type="spellEnd"/>
      <w:r w:rsidRPr="009C2B42">
        <w:rPr>
          <w:color w:val="000000"/>
          <w:sz w:val="28"/>
          <w:szCs w:val="28"/>
        </w:rPr>
        <w:t xml:space="preserve"> </w:t>
      </w:r>
      <w:proofErr w:type="spellStart"/>
      <w:r w:rsidRPr="009C2B42">
        <w:rPr>
          <w:color w:val="000000"/>
          <w:sz w:val="28"/>
          <w:szCs w:val="28"/>
        </w:rPr>
        <w:t>Chỉ</w:t>
      </w:r>
      <w:proofErr w:type="spellEnd"/>
      <w:r w:rsidRPr="009C2B42">
        <w:rPr>
          <w:color w:val="000000"/>
          <w:sz w:val="28"/>
          <w:szCs w:val="28"/>
        </w:rPr>
        <w:t xml:space="preserve"> </w:t>
      </w:r>
      <w:proofErr w:type="spellStart"/>
      <w:r w:rsidRPr="009C2B42">
        <w:rPr>
          <w:color w:val="000000"/>
          <w:sz w:val="28"/>
          <w:szCs w:val="28"/>
        </w:rPr>
        <w:t>thị</w:t>
      </w:r>
      <w:proofErr w:type="spellEnd"/>
      <w:r w:rsidRPr="009C2B42">
        <w:rPr>
          <w:color w:val="000000"/>
          <w:sz w:val="28"/>
          <w:szCs w:val="28"/>
        </w:rPr>
        <w:t xml:space="preserve"> </w:t>
      </w:r>
      <w:proofErr w:type="spellStart"/>
      <w:r w:rsidRPr="009C2B42">
        <w:rPr>
          <w:color w:val="000000"/>
          <w:sz w:val="28"/>
          <w:szCs w:val="28"/>
        </w:rPr>
        <w:t>số</w:t>
      </w:r>
      <w:proofErr w:type="spellEnd"/>
      <w:r w:rsidRPr="009C2B42">
        <w:rPr>
          <w:color w:val="000000"/>
          <w:sz w:val="28"/>
          <w:szCs w:val="28"/>
        </w:rPr>
        <w:t xml:space="preserve"> 07 - CT/TU, </w:t>
      </w:r>
      <w:r w:rsidRPr="009C2B42">
        <w:rPr>
          <w:color w:val="000000"/>
          <w:sz w:val="28"/>
          <w:szCs w:val="28"/>
          <w:lang w:val="it-IT"/>
        </w:rPr>
        <w:t xml:space="preserve">nhận thức về vị trí, vai trò của công tác khuyến học, khuyến tài, xây dựng xã hội học tập ở các cấp, các ngành và nhân dân trong tỉnh đã được nâng lên. Hoạt động khuyến học, khuyến tài, xây dựng xã hội học tập đã đạt được những kết quả bước đầu quan trọng. Hội khuyến học các cấp tiếp tục được xây dựng, củng cố và phát triển: </w:t>
      </w:r>
      <w:r w:rsidRPr="009C2B42">
        <w:rPr>
          <w:color w:val="000000"/>
          <w:sz w:val="28"/>
          <w:szCs w:val="28"/>
          <w:lang w:val="nl-NL"/>
        </w:rPr>
        <w:t>10/10 huyện, thành phố đã thành lập, kiện toàn tổ chức hội khuyến học cấp huyện, thành phố; trên 95% xã, phường, thị trấn thành lập hội khuyến học cơ sở; 100% trường học các cấp thành lập chi hội khuyến học; đa số thôn, làng, khu phố đã thành lập chi hội khuyến học, nhiều dòng họ cơ quan, đơn vị đã thành lập ban khuyến học. Tổng số hội viên tăng, đạt trên 10% dân số.</w:t>
      </w:r>
      <w:r w:rsidRPr="009C2B42">
        <w:rPr>
          <w:color w:val="000000"/>
          <w:sz w:val="28"/>
          <w:szCs w:val="28"/>
          <w:lang w:val="pt-BR"/>
        </w:rPr>
        <w:t xml:space="preserve"> Toàn tỉnh có</w:t>
      </w:r>
      <w:r w:rsidRPr="009C2B42">
        <w:rPr>
          <w:color w:val="000000"/>
          <w:sz w:val="28"/>
          <w:szCs w:val="28"/>
          <w:lang w:val="nl-NL"/>
        </w:rPr>
        <w:t xml:space="preserve"> 8.580 gia đình hiếu học, 507 dòng họ hiếu học, 211 cộng đồng khuyến học. Duy trì 161 trung tâm học tập cộng đồng xã, phường, thị trấn, góp phần tích cực vào xây dựng xã hội học tập ở cơ sở.</w:t>
      </w:r>
      <w:r w:rsidRPr="009C2B42">
        <w:rPr>
          <w:color w:val="000000"/>
          <w:sz w:val="28"/>
          <w:szCs w:val="28"/>
          <w:lang w:val="pt-BR"/>
        </w:rPr>
        <w:t xml:space="preserve"> </w:t>
      </w:r>
      <w:r w:rsidRPr="009C2B42">
        <w:rPr>
          <w:color w:val="000000"/>
          <w:sz w:val="28"/>
          <w:szCs w:val="28"/>
          <w:lang w:val="nl-NL"/>
        </w:rPr>
        <w:t>Qũy khuyến học phát triển với nhiều loại hình, toàn tỉnh đạt gần 25 tỷ đồng.</w:t>
      </w:r>
    </w:p>
    <w:p w:rsidR="00272D63" w:rsidRPr="009C2B42" w:rsidRDefault="00272D63" w:rsidP="00272D63">
      <w:pPr>
        <w:spacing w:before="120" w:after="120"/>
        <w:ind w:firstLine="709"/>
        <w:jc w:val="both"/>
        <w:rPr>
          <w:color w:val="000000"/>
          <w:sz w:val="28"/>
          <w:szCs w:val="28"/>
          <w:lang w:val="nl-NL"/>
        </w:rPr>
      </w:pPr>
      <w:r w:rsidRPr="009C2B42">
        <w:rPr>
          <w:color w:val="000000"/>
          <w:sz w:val="28"/>
          <w:szCs w:val="28"/>
          <w:lang w:val="nl-NL"/>
        </w:rPr>
        <w:t>Tuy nhiên, công tác củng cố, phát triển tổ chức hội và hội viên ở một số địa phương, đơn vị còn chậm, nhất là ở khối cơ quan, đơn vị doanh nghiệp; phong trào khuyến học, khuyến tài xây dựng xã hội học tập, xây dựng và ủng hộ quỹ chưa đồng đều ở các địa phương. Cán bộ làm công tác Hội khuyến học ở cấp huyện và cơ sở đa số là kiêm nhiệm, thời gian dành cho hoạt động hội còn hạn chế, chưa có chi trả thù lao cho cán bộ cấp huyện, cấp xã. Trụ sở làm việc của các cấp hội còn tạm bợ, cơ sở vật chất phục hoạt động hội còn hạn chế. Hoạt động của một số trung tâm học tập cộng đồng chưa đi vào chiều sâu, nội dung giáo dục chưa đáp ứng kịp thời với nhu cầu thực tiễn, phong phú của nhân dân.</w:t>
      </w:r>
    </w:p>
    <w:p w:rsidR="00272D63" w:rsidRPr="009C2B42" w:rsidRDefault="00272D63" w:rsidP="00272D63">
      <w:pPr>
        <w:spacing w:before="120" w:after="120"/>
        <w:ind w:firstLine="709"/>
        <w:jc w:val="both"/>
        <w:rPr>
          <w:color w:val="000000"/>
          <w:sz w:val="28"/>
          <w:szCs w:val="28"/>
          <w:lang w:val="nl-NL"/>
        </w:rPr>
      </w:pPr>
      <w:r w:rsidRPr="009C2B42">
        <w:rPr>
          <w:color w:val="000000"/>
          <w:sz w:val="28"/>
          <w:szCs w:val="28"/>
          <w:lang w:val="nl-NL"/>
        </w:rPr>
        <w:lastRenderedPageBreak/>
        <w:t xml:space="preserve">Nguyên nhân của những hạn chế, yếu kém chủ yếu do nhận thức và trách nhiệm của một số cấp ủy đảng, chính quyền chưa đầy đủ; </w:t>
      </w:r>
      <w:r w:rsidRPr="009C2B42">
        <w:rPr>
          <w:color w:val="000000"/>
          <w:sz w:val="28"/>
          <w:szCs w:val="28"/>
          <w:lang w:val="pt-BR"/>
        </w:rPr>
        <w:t>một số huyện, thành phố thiếu quan tâm tới xây dựng, kiện toàn tổ chức hội. Vai trò nòng cốt của hội, nhất là hội cơ sở chưa được phát huy</w:t>
      </w:r>
      <w:r w:rsidRPr="009C2B42">
        <w:rPr>
          <w:color w:val="000000"/>
          <w:spacing w:val="-4"/>
          <w:sz w:val="28"/>
          <w:szCs w:val="28"/>
          <w:lang w:val="nl-NL"/>
        </w:rPr>
        <w:t xml:space="preserve">. Nguồn kinh phí nhà nước đầu tư thấp, cơ sở vật chất thiếu, ảnh hưởng đến chất lượng hoạt động của Hội khuyến học các cấp </w:t>
      </w:r>
    </w:p>
    <w:p w:rsidR="00272D63" w:rsidRPr="009C2B42" w:rsidRDefault="00272D63" w:rsidP="00272D63">
      <w:pPr>
        <w:spacing w:before="120" w:after="120"/>
        <w:ind w:firstLine="709"/>
        <w:jc w:val="both"/>
        <w:rPr>
          <w:b/>
          <w:color w:val="000000"/>
          <w:spacing w:val="-4"/>
          <w:sz w:val="28"/>
          <w:szCs w:val="28"/>
          <w:lang w:val="nl-NL"/>
        </w:rPr>
      </w:pPr>
      <w:r w:rsidRPr="009C2B42">
        <w:rPr>
          <w:b/>
          <w:color w:val="000000"/>
          <w:spacing w:val="-4"/>
          <w:sz w:val="28"/>
          <w:szCs w:val="28"/>
          <w:lang w:val="nl-NL"/>
        </w:rPr>
        <w:t>II- Để tiếp tục thực hiện có hiệu quả Chỉ thị số 07-CT/TU, Ban Thường vụ Tỉnh ủy đề nghị các cấp ủy đảng, chính quyền, đoàn thể và Hội khuyến học các cấp cần thực hiện tốt một số nội dung sau:</w:t>
      </w:r>
      <w:r w:rsidRPr="009C2B42">
        <w:rPr>
          <w:color w:val="000000"/>
          <w:spacing w:val="-4"/>
          <w:sz w:val="28"/>
          <w:szCs w:val="28"/>
          <w:lang w:val="nl-NL"/>
        </w:rPr>
        <w:t xml:space="preserve"> </w:t>
      </w:r>
    </w:p>
    <w:p w:rsidR="00272D63" w:rsidRPr="009C2B42" w:rsidRDefault="00272D63" w:rsidP="00272D63">
      <w:pPr>
        <w:spacing w:before="120" w:after="120"/>
        <w:ind w:firstLine="709"/>
        <w:jc w:val="both"/>
        <w:rPr>
          <w:color w:val="000000"/>
          <w:sz w:val="28"/>
          <w:szCs w:val="28"/>
          <w:lang w:val="pt-BR"/>
        </w:rPr>
      </w:pPr>
      <w:r w:rsidRPr="009C2B42">
        <w:rPr>
          <w:color w:val="000000"/>
          <w:spacing w:val="-4"/>
          <w:sz w:val="28"/>
          <w:szCs w:val="28"/>
          <w:lang w:val="nl-NL"/>
        </w:rPr>
        <w:t xml:space="preserve">1. Cấp ủy, chính quyền, Mặt trận Tổ quốc và đoàn thể tiếp tục quán triệt sâu sắc Chỉ thị số 07-CT/TU để nâng cao nhận thức của các cấp, các ngành, các tổ chức, đơn vị và người dân về vai trò của công tác khuyến học, khuyến tài, xây dựng xã hội học tập; tiếp tục cụ thể hóa và thực hiện tốt các nhiệm vụ, giải pháp của Chỉ thị gắn với thực hiện </w:t>
      </w:r>
      <w:r w:rsidRPr="009C2B42">
        <w:rPr>
          <w:color w:val="000000"/>
          <w:sz w:val="28"/>
          <w:szCs w:val="28"/>
          <w:lang w:val="pt-BR"/>
        </w:rPr>
        <w:t>nhiệm vụ phát triển kinh tế, xây dựng đời sống văn hóa và phát triển giáo dục - đào tạo theo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Nâng cao hiệu quả công tác phối hợp với các sở, ban, ngành, đoàn thể, doanh nghiệp, tạo sự thống nhất trong hoạt động khuyến học, khuyến tài, xây dựng xã hội học tập.</w:t>
      </w:r>
    </w:p>
    <w:p w:rsidR="00272D63" w:rsidRPr="009C2B42" w:rsidRDefault="00272D63" w:rsidP="00272D63">
      <w:pPr>
        <w:spacing w:before="120" w:after="120"/>
        <w:ind w:firstLine="709"/>
        <w:jc w:val="both"/>
        <w:rPr>
          <w:color w:val="000000"/>
          <w:sz w:val="28"/>
          <w:szCs w:val="28"/>
          <w:shd w:val="clear" w:color="auto" w:fill="FFFFFF"/>
          <w:lang w:val="pt-BR"/>
        </w:rPr>
      </w:pPr>
      <w:r w:rsidRPr="009C2B42">
        <w:rPr>
          <w:color w:val="000000"/>
          <w:sz w:val="28"/>
          <w:szCs w:val="28"/>
          <w:lang w:val="pt-BR"/>
        </w:rPr>
        <w:t>2. Ban cán sự Đảng Ủy ban nhân dân tỉnh căn cứ vào tình hình thực tế của tỉnh để bố trí trụ sở làm việc cho Hội khuyến học tỉnh, đầu tư kinh phí cho các cấp hội để thực hiện Quyết định 281/ QĐ- TTg ngày 20 tháng 02 năm 2014 của Thủ tướng Chính phủ phê duyệt đề án” Đẩy mạnh phong trào học tập suốt đời trong gia đình, dòng họ, cộng đồng đến nắm năm 2020”. K</w:t>
      </w:r>
      <w:r w:rsidRPr="009C2B42">
        <w:rPr>
          <w:color w:val="000000"/>
          <w:sz w:val="28"/>
          <w:szCs w:val="28"/>
          <w:shd w:val="clear" w:color="auto" w:fill="FFFFFF"/>
          <w:lang w:val="pt-BR"/>
        </w:rPr>
        <w:t xml:space="preserve">huyến khích và tạo điều kiện thuận lợi cho các đơn vị, cá nhân tham gia hoạt động khuyến học, khuyến tài, xây dựng xã hội học tập. Tăng cường sự quản lý và hỗ trợ của nhà nước đối với các trung tâm học tập cộng đồng, coi đây là công cụ, phương tiện thúc đẩy phát triển kinh tế, xã hội, nâng cao chất lượng cuộc sống người dân địa phương; chỉ đạo ngành Giáo dục và Đào tạo tiếp tục thực hiện việc </w:t>
      </w:r>
      <w:r w:rsidRPr="009C2B42">
        <w:rPr>
          <w:color w:val="000000"/>
          <w:sz w:val="28"/>
          <w:szCs w:val="28"/>
          <w:lang w:val="pt-BR"/>
        </w:rPr>
        <w:t>đổi mới nội dung, chương trình, phương pháp học tập theo hướng linh hoạt, phù hợp với nhu cầu thực tiễn, tạo cơ hội học tập suốt đời, nâng cao hiểu biết của người dân về các lĩnh vực trong đời sống xã hội.</w:t>
      </w:r>
    </w:p>
    <w:p w:rsidR="00272D63" w:rsidRPr="009C2B42" w:rsidRDefault="00272D63" w:rsidP="00272D63">
      <w:pPr>
        <w:spacing w:before="120" w:after="120"/>
        <w:ind w:firstLine="709"/>
        <w:jc w:val="both"/>
        <w:rPr>
          <w:color w:val="000000"/>
          <w:sz w:val="28"/>
          <w:szCs w:val="28"/>
          <w:shd w:val="clear" w:color="auto" w:fill="FFFFFF"/>
          <w:lang w:val="pt-BR"/>
        </w:rPr>
      </w:pPr>
      <w:r w:rsidRPr="009C2B42">
        <w:rPr>
          <w:color w:val="000000"/>
          <w:sz w:val="28"/>
          <w:szCs w:val="28"/>
          <w:lang w:val="pt-BR"/>
        </w:rPr>
        <w:t>3. Hội khuyến học các cấp tiếp tục củng cố, xây dựng tổ chức hội, phát triển hội viên. Triển khai nhiệm vụ xây dựng xã hội học tập và phong trào học tập suốt đời trong các gia đình, dòng họ và cộng đồng trên địa bàn tỉnh, t</w:t>
      </w:r>
      <w:r w:rsidRPr="009C2B42">
        <w:rPr>
          <w:color w:val="000000"/>
          <w:sz w:val="28"/>
          <w:szCs w:val="28"/>
          <w:shd w:val="clear" w:color="auto" w:fill="FFFFFF"/>
          <w:lang w:val="vi-VN"/>
        </w:rPr>
        <w:t>hông qua việc</w:t>
      </w:r>
      <w:r w:rsidRPr="009C2B42">
        <w:rPr>
          <w:color w:val="000000"/>
          <w:sz w:val="28"/>
          <w:szCs w:val="28"/>
          <w:shd w:val="clear" w:color="auto" w:fill="FFFFFF"/>
          <w:lang w:val="pt-BR"/>
        </w:rPr>
        <w:t xml:space="preserve"> thực hiện các mô hình:</w:t>
      </w:r>
      <w:r w:rsidRPr="009C2B42">
        <w:rPr>
          <w:color w:val="000000"/>
          <w:sz w:val="28"/>
          <w:szCs w:val="28"/>
          <w:shd w:val="clear" w:color="auto" w:fill="FFFFFF"/>
          <w:lang w:val="vi-VN"/>
        </w:rPr>
        <w:t xml:space="preserve"> “Gia đình học tập”, “Dòng họ học tập”, “Cộng đồng học tập” và “Đơn vị học tập”</w:t>
      </w:r>
      <w:r w:rsidRPr="009C2B42">
        <w:rPr>
          <w:color w:val="000000"/>
          <w:sz w:val="28"/>
          <w:szCs w:val="28"/>
          <w:shd w:val="clear" w:color="auto" w:fill="FFFFFF"/>
          <w:lang w:val="pt-BR"/>
        </w:rPr>
        <w:t>, làm cơ sở cho việc xây dựng mô hình học tập cộng đồng cấp xã.</w:t>
      </w:r>
    </w:p>
    <w:p w:rsidR="00272D63" w:rsidRPr="009C2B42" w:rsidRDefault="00272D63" w:rsidP="00272D63">
      <w:pPr>
        <w:spacing w:before="120" w:after="120"/>
        <w:jc w:val="both"/>
        <w:rPr>
          <w:color w:val="000000"/>
          <w:sz w:val="28"/>
          <w:szCs w:val="28"/>
          <w:lang w:val="pt-BR"/>
        </w:rPr>
      </w:pPr>
      <w:r w:rsidRPr="009C2B42">
        <w:rPr>
          <w:color w:val="000000"/>
          <w:sz w:val="28"/>
          <w:szCs w:val="28"/>
          <w:lang w:val="pt-BR"/>
        </w:rPr>
        <w:lastRenderedPageBreak/>
        <w:t xml:space="preserve">      Đẩy mạnh công tác tuyên truyền thực hiện Chỉ thị 07- CT/TU của Ban Thường vụ Tỉnh ủy. Vận động cán bộ, đảng viên, nhân dân, các nhà hảo tâm  tích cực tham gia phong trào khuyến học, khuyến tài, xây dựng xã hội học tập. Phát triển và mở rộng các hình thức huy động, ủng hộ, sử dụng có hiệu quả nguồn quỹ khuyến học, khuyến tài, nhất là khuyến khích, động viên các đối tượng học nghề tiêu biểu để đẩy mạnh công tác phân luồng học sinh đi học nghề (khuyến học nghề).</w:t>
      </w:r>
    </w:p>
    <w:p w:rsidR="00272D63" w:rsidRPr="009C2B42" w:rsidRDefault="00272D63" w:rsidP="00272D63">
      <w:pPr>
        <w:spacing w:before="120" w:after="120"/>
        <w:ind w:firstLine="709"/>
        <w:jc w:val="both"/>
        <w:rPr>
          <w:color w:val="000000"/>
          <w:sz w:val="28"/>
          <w:szCs w:val="28"/>
          <w:lang w:val="it-IT"/>
        </w:rPr>
      </w:pPr>
      <w:r w:rsidRPr="009C2B42">
        <w:rPr>
          <w:color w:val="000000"/>
          <w:sz w:val="28"/>
          <w:szCs w:val="28"/>
          <w:lang w:val="pt-BR"/>
        </w:rPr>
        <w:t>4. Báo Hưng Yên, Đài Phát thanh - Truyền hình tỉnh, đài truyền thanh các huyện, thành phố và cơ sở đẩy</w:t>
      </w:r>
      <w:r w:rsidRPr="009C2B42">
        <w:rPr>
          <w:color w:val="000000"/>
          <w:sz w:val="28"/>
          <w:szCs w:val="28"/>
          <w:lang w:val="it-IT"/>
        </w:rPr>
        <w:t xml:space="preserve"> mạnh công tác tuyên truyền, phổ biến các chỉ thị, nghị quyết của Đảng, của Trung ương Hội Khuyến học và của Tỉnh ủy về công tác khuyến học, khuyến tài gắn với chủ trương đổi mới căn bản, toàn diện giáo dục và đào tạo; kịp thời biểu dương, cổ vũ nhằm khơi dậy tinh thần hiếu học, vận động nhân dân cùng tham gia sự nghiệp giáo dục, đào tạo và khuyến học, khuyến tài, xây dựng xã hội học tập.</w:t>
      </w:r>
    </w:p>
    <w:p w:rsidR="00272D63" w:rsidRPr="009C2B42" w:rsidRDefault="00272D63" w:rsidP="00272D63">
      <w:pPr>
        <w:spacing w:before="120" w:after="120"/>
        <w:ind w:firstLine="709"/>
        <w:jc w:val="both"/>
        <w:rPr>
          <w:color w:val="000000"/>
          <w:sz w:val="28"/>
          <w:szCs w:val="28"/>
          <w:lang w:val="pt-BR"/>
        </w:rPr>
      </w:pPr>
      <w:r w:rsidRPr="009C2B42">
        <w:rPr>
          <w:color w:val="000000"/>
          <w:sz w:val="28"/>
          <w:szCs w:val="28"/>
          <w:lang w:val="pt-BR"/>
        </w:rPr>
        <w:t>5. Giao Ban Tuyên giáo Tỉnh ủy chủ trì, phối hợp với Sở Giáo dục và Đào tạo, Hội Khuyến học tỉnh và các cơ quan, đơn vị liên quan theo dõi, đôn đốc việc thực hiện kết luận này, có kế hoạch kiểm tra định kỳ, hàng năm báo cáo Ban Thường vụ Tỉnh ủy về kết quả thực hiện.</w:t>
      </w:r>
    </w:p>
    <w:p w:rsidR="00272D63" w:rsidRPr="009C2B42" w:rsidRDefault="00272D63" w:rsidP="00272D63">
      <w:pPr>
        <w:ind w:firstLine="720"/>
        <w:jc w:val="both"/>
        <w:rPr>
          <w:color w:val="000000"/>
          <w:sz w:val="28"/>
          <w:szCs w:val="28"/>
          <w:lang w:val="pt-BR"/>
        </w:rPr>
      </w:pPr>
    </w:p>
    <w:tbl>
      <w:tblPr>
        <w:tblW w:w="9924" w:type="dxa"/>
        <w:tblInd w:w="-318" w:type="dxa"/>
        <w:tblLook w:val="01E0" w:firstRow="1" w:lastRow="1" w:firstColumn="1" w:lastColumn="1" w:noHBand="0" w:noVBand="0"/>
      </w:tblPr>
      <w:tblGrid>
        <w:gridCol w:w="4254"/>
        <w:gridCol w:w="5670"/>
      </w:tblGrid>
      <w:tr w:rsidR="00272D63" w:rsidRPr="009C2B42" w:rsidTr="00F77BF2">
        <w:tc>
          <w:tcPr>
            <w:tcW w:w="4254" w:type="dxa"/>
            <w:shd w:val="clear" w:color="auto" w:fill="auto"/>
          </w:tcPr>
          <w:p w:rsidR="00272D63" w:rsidRPr="007C34AC" w:rsidRDefault="00272D63" w:rsidP="00F77BF2">
            <w:pPr>
              <w:tabs>
                <w:tab w:val="left" w:pos="6030"/>
              </w:tabs>
              <w:jc w:val="both"/>
              <w:rPr>
                <w:color w:val="000000"/>
                <w:u w:val="single"/>
                <w:lang w:val="pt-BR"/>
              </w:rPr>
            </w:pPr>
          </w:p>
          <w:p w:rsidR="00272D63" w:rsidRPr="00C41AC2" w:rsidRDefault="00272D63" w:rsidP="00F77BF2">
            <w:pPr>
              <w:tabs>
                <w:tab w:val="left" w:pos="6030"/>
              </w:tabs>
              <w:jc w:val="both"/>
              <w:rPr>
                <w:b/>
                <w:color w:val="000000"/>
                <w:lang w:val="pt-BR"/>
              </w:rPr>
            </w:pPr>
            <w:r w:rsidRPr="00C41AC2">
              <w:rPr>
                <w:b/>
                <w:color w:val="000000"/>
                <w:u w:val="single"/>
                <w:lang w:val="pt-BR"/>
              </w:rPr>
              <w:t>Nơi nhận</w:t>
            </w:r>
            <w:r w:rsidRPr="00C41AC2">
              <w:rPr>
                <w:b/>
                <w:color w:val="000000"/>
                <w:lang w:val="pt-BR"/>
              </w:rPr>
              <w:t>:</w:t>
            </w:r>
          </w:p>
          <w:p w:rsidR="00272D63" w:rsidRPr="007C34AC" w:rsidRDefault="00272D63" w:rsidP="00F77BF2">
            <w:pPr>
              <w:tabs>
                <w:tab w:val="left" w:pos="6030"/>
              </w:tabs>
              <w:jc w:val="both"/>
              <w:rPr>
                <w:color w:val="000000"/>
                <w:lang w:val="pt-BR"/>
              </w:rPr>
            </w:pPr>
            <w:r>
              <w:rPr>
                <w:color w:val="000000"/>
                <w:lang w:val="pt-BR"/>
              </w:rPr>
              <w:t>- Như kính gửi</w:t>
            </w:r>
            <w:r w:rsidRPr="007C34AC">
              <w:rPr>
                <w:color w:val="000000"/>
                <w:lang w:val="pt-BR"/>
              </w:rPr>
              <w:t>;</w:t>
            </w:r>
          </w:p>
          <w:p w:rsidR="00272D63" w:rsidRPr="007C34AC" w:rsidRDefault="00272D63" w:rsidP="00F77BF2">
            <w:pPr>
              <w:tabs>
                <w:tab w:val="left" w:pos="6030"/>
              </w:tabs>
              <w:jc w:val="both"/>
              <w:rPr>
                <w:color w:val="000000"/>
                <w:lang w:val="pt-BR"/>
              </w:rPr>
            </w:pPr>
            <w:r w:rsidRPr="007C34AC">
              <w:rPr>
                <w:color w:val="000000"/>
                <w:lang w:val="pt-BR"/>
              </w:rPr>
              <w:t>- Các đ/c Ủy viên BTVTU;</w:t>
            </w:r>
          </w:p>
          <w:p w:rsidR="00272D63" w:rsidRPr="002E61BC" w:rsidRDefault="00272D63" w:rsidP="00F77BF2">
            <w:pPr>
              <w:tabs>
                <w:tab w:val="left" w:pos="6030"/>
              </w:tabs>
              <w:jc w:val="both"/>
              <w:rPr>
                <w:color w:val="000000"/>
                <w:u w:val="single"/>
              </w:rPr>
            </w:pPr>
            <w:r w:rsidRPr="007C34AC">
              <w:rPr>
                <w:color w:val="000000"/>
              </w:rPr>
              <w:t xml:space="preserve">- Ban </w:t>
            </w:r>
            <w:proofErr w:type="spellStart"/>
            <w:r w:rsidRPr="007C34AC">
              <w:rPr>
                <w:color w:val="000000"/>
              </w:rPr>
              <w:t>Tuyên</w:t>
            </w:r>
            <w:proofErr w:type="spellEnd"/>
            <w:r w:rsidRPr="007C34AC">
              <w:rPr>
                <w:color w:val="000000"/>
              </w:rPr>
              <w:t xml:space="preserve"> </w:t>
            </w:r>
            <w:proofErr w:type="spellStart"/>
            <w:r w:rsidRPr="007C34AC">
              <w:rPr>
                <w:color w:val="000000"/>
              </w:rPr>
              <w:t>giáo</w:t>
            </w:r>
            <w:proofErr w:type="spellEnd"/>
            <w:r w:rsidRPr="007C34AC">
              <w:rPr>
                <w:color w:val="000000"/>
              </w:rPr>
              <w:t xml:space="preserve"> </w:t>
            </w:r>
            <w:proofErr w:type="spellStart"/>
            <w:r w:rsidRPr="007C34AC">
              <w:rPr>
                <w:color w:val="000000"/>
              </w:rPr>
              <w:t>Tỉnh</w:t>
            </w:r>
            <w:proofErr w:type="spellEnd"/>
            <w:r w:rsidRPr="007C34AC">
              <w:rPr>
                <w:color w:val="000000"/>
              </w:rPr>
              <w:t xml:space="preserve"> </w:t>
            </w:r>
            <w:proofErr w:type="spellStart"/>
            <w:r w:rsidRPr="007C34AC">
              <w:rPr>
                <w:color w:val="000000"/>
              </w:rPr>
              <w:t>ủy</w:t>
            </w:r>
            <w:proofErr w:type="spellEnd"/>
            <w:r w:rsidRPr="007C34AC">
              <w:rPr>
                <w:color w:val="000000"/>
              </w:rPr>
              <w:t>;</w:t>
            </w:r>
          </w:p>
          <w:p w:rsidR="00272D63" w:rsidRPr="007C34AC" w:rsidRDefault="00272D63" w:rsidP="00F77BF2">
            <w:pPr>
              <w:tabs>
                <w:tab w:val="left" w:pos="6030"/>
              </w:tabs>
              <w:jc w:val="both"/>
              <w:rPr>
                <w:color w:val="000000"/>
                <w:lang w:val="pt-BR"/>
              </w:rPr>
            </w:pPr>
            <w:r w:rsidRPr="007C34AC">
              <w:rPr>
                <w:color w:val="000000"/>
                <w:lang w:val="pt-BR"/>
              </w:rPr>
              <w:t>- Báo Hưng Yên; Đài PT-TH tỉnh;</w:t>
            </w:r>
          </w:p>
          <w:p w:rsidR="00272D63" w:rsidRPr="007C34AC" w:rsidRDefault="00272D63" w:rsidP="00F77BF2">
            <w:pPr>
              <w:tabs>
                <w:tab w:val="left" w:pos="6030"/>
              </w:tabs>
              <w:jc w:val="both"/>
              <w:rPr>
                <w:color w:val="000000"/>
                <w:lang w:val="pt-BR"/>
              </w:rPr>
            </w:pPr>
            <w:r w:rsidRPr="007C34AC">
              <w:rPr>
                <w:color w:val="000000"/>
                <w:lang w:val="pt-BR"/>
              </w:rPr>
              <w:t>- LĐVPTU:</w:t>
            </w:r>
          </w:p>
          <w:p w:rsidR="00272D63" w:rsidRPr="007C34AC" w:rsidRDefault="00272D63" w:rsidP="00F77BF2">
            <w:pPr>
              <w:tabs>
                <w:tab w:val="left" w:pos="6030"/>
              </w:tabs>
              <w:jc w:val="both"/>
              <w:rPr>
                <w:color w:val="000000"/>
                <w:lang w:val="pt-BR"/>
              </w:rPr>
            </w:pPr>
            <w:r w:rsidRPr="007C34AC">
              <w:rPr>
                <w:color w:val="000000"/>
                <w:lang w:val="pt-BR"/>
              </w:rPr>
              <w:t>- CV Hằng</w:t>
            </w:r>
          </w:p>
          <w:p w:rsidR="00272D63" w:rsidRPr="007C34AC" w:rsidRDefault="00272D63" w:rsidP="00F77BF2">
            <w:pPr>
              <w:tabs>
                <w:tab w:val="left" w:pos="6030"/>
              </w:tabs>
              <w:jc w:val="both"/>
              <w:rPr>
                <w:color w:val="000000"/>
                <w:lang w:val="pt-BR"/>
              </w:rPr>
            </w:pPr>
            <w:r w:rsidRPr="007C34AC">
              <w:rPr>
                <w:color w:val="000000"/>
                <w:lang w:val="pt-BR"/>
              </w:rPr>
              <w:t>- Lưu VPTU.</w:t>
            </w:r>
          </w:p>
          <w:p w:rsidR="00272D63" w:rsidRPr="007C34AC" w:rsidRDefault="00272D63" w:rsidP="00F77BF2">
            <w:pPr>
              <w:tabs>
                <w:tab w:val="left" w:pos="6030"/>
              </w:tabs>
              <w:jc w:val="center"/>
              <w:rPr>
                <w:color w:val="000000"/>
                <w:lang w:val="pt-BR"/>
              </w:rPr>
            </w:pPr>
          </w:p>
        </w:tc>
        <w:tc>
          <w:tcPr>
            <w:tcW w:w="5670" w:type="dxa"/>
            <w:shd w:val="clear" w:color="auto" w:fill="auto"/>
          </w:tcPr>
          <w:p w:rsidR="00272D63" w:rsidRPr="009C2B42" w:rsidRDefault="00272D63" w:rsidP="00F77BF2">
            <w:pPr>
              <w:tabs>
                <w:tab w:val="left" w:pos="6030"/>
              </w:tabs>
              <w:jc w:val="center"/>
              <w:rPr>
                <w:color w:val="000000"/>
                <w:sz w:val="28"/>
                <w:szCs w:val="28"/>
                <w:lang w:val="pt-BR"/>
              </w:rPr>
            </w:pPr>
            <w:r w:rsidRPr="009C2B42">
              <w:rPr>
                <w:color w:val="000000"/>
                <w:sz w:val="28"/>
                <w:szCs w:val="28"/>
                <w:lang w:val="pt-BR"/>
              </w:rPr>
              <w:t xml:space="preserve">T/M BAN THƯỜNG VỤ </w:t>
            </w:r>
          </w:p>
          <w:p w:rsidR="00272D63" w:rsidRPr="009C2B42" w:rsidRDefault="00272D63" w:rsidP="00F77BF2">
            <w:pPr>
              <w:tabs>
                <w:tab w:val="left" w:pos="6030"/>
              </w:tabs>
              <w:jc w:val="center"/>
              <w:rPr>
                <w:b/>
                <w:color w:val="000000"/>
                <w:sz w:val="28"/>
                <w:szCs w:val="28"/>
                <w:lang w:val="pt-BR"/>
              </w:rPr>
            </w:pPr>
            <w:r w:rsidRPr="009C2B42">
              <w:rPr>
                <w:b/>
                <w:color w:val="000000"/>
                <w:sz w:val="28"/>
                <w:szCs w:val="28"/>
                <w:lang w:val="pt-BR"/>
              </w:rPr>
              <w:t>PHÓ BÍ THƯ THƯỜNG TRỰC</w:t>
            </w:r>
          </w:p>
          <w:p w:rsidR="00272D63" w:rsidRPr="009C2B42" w:rsidRDefault="00272D63" w:rsidP="00F77BF2">
            <w:pPr>
              <w:tabs>
                <w:tab w:val="left" w:pos="6030"/>
              </w:tabs>
              <w:jc w:val="center"/>
              <w:rPr>
                <w:color w:val="000000"/>
                <w:sz w:val="28"/>
                <w:szCs w:val="28"/>
                <w:lang w:val="pt-BR"/>
              </w:rPr>
            </w:pPr>
          </w:p>
          <w:p w:rsidR="00272D63" w:rsidRPr="009C2B42" w:rsidRDefault="00272D63" w:rsidP="00F77BF2">
            <w:pPr>
              <w:tabs>
                <w:tab w:val="left" w:pos="6030"/>
              </w:tabs>
              <w:jc w:val="center"/>
              <w:rPr>
                <w:color w:val="000000"/>
                <w:sz w:val="28"/>
                <w:szCs w:val="28"/>
                <w:lang w:val="pt-BR"/>
              </w:rPr>
            </w:pPr>
          </w:p>
          <w:p w:rsidR="00272D63" w:rsidRPr="009C2B42" w:rsidRDefault="00272D63" w:rsidP="00F77BF2">
            <w:pPr>
              <w:tabs>
                <w:tab w:val="left" w:pos="6030"/>
              </w:tabs>
              <w:rPr>
                <w:color w:val="000000"/>
                <w:sz w:val="28"/>
                <w:szCs w:val="28"/>
                <w:lang w:val="pt-BR"/>
              </w:rPr>
            </w:pPr>
            <w:r w:rsidRPr="009C2B42">
              <w:rPr>
                <w:color w:val="000000"/>
                <w:sz w:val="28"/>
                <w:szCs w:val="28"/>
                <w:lang w:val="pt-BR"/>
              </w:rPr>
              <w:t xml:space="preserve">                                (Đã ký)</w:t>
            </w:r>
          </w:p>
          <w:p w:rsidR="00272D63" w:rsidRPr="009C2B42" w:rsidRDefault="00272D63" w:rsidP="00F77BF2">
            <w:pPr>
              <w:tabs>
                <w:tab w:val="left" w:pos="6030"/>
              </w:tabs>
              <w:rPr>
                <w:color w:val="000000"/>
                <w:sz w:val="28"/>
                <w:szCs w:val="28"/>
                <w:lang w:val="pt-BR"/>
              </w:rPr>
            </w:pPr>
          </w:p>
          <w:p w:rsidR="00272D63" w:rsidRPr="009C2B42" w:rsidRDefault="00272D63" w:rsidP="00F77BF2">
            <w:pPr>
              <w:tabs>
                <w:tab w:val="left" w:pos="6030"/>
              </w:tabs>
              <w:jc w:val="center"/>
              <w:rPr>
                <w:color w:val="000000"/>
                <w:sz w:val="28"/>
                <w:szCs w:val="28"/>
                <w:lang w:val="pt-BR"/>
              </w:rPr>
            </w:pPr>
          </w:p>
          <w:p w:rsidR="00272D63" w:rsidRPr="009C2B42" w:rsidRDefault="00272D63" w:rsidP="00F77BF2">
            <w:pPr>
              <w:tabs>
                <w:tab w:val="left" w:pos="6030"/>
              </w:tabs>
              <w:jc w:val="center"/>
              <w:rPr>
                <w:color w:val="000000"/>
                <w:sz w:val="28"/>
                <w:szCs w:val="28"/>
                <w:lang w:val="pt-BR"/>
              </w:rPr>
            </w:pPr>
          </w:p>
          <w:p w:rsidR="00272D63" w:rsidRPr="009C2B42" w:rsidRDefault="00272D63" w:rsidP="00F77BF2">
            <w:pPr>
              <w:tabs>
                <w:tab w:val="left" w:pos="6030"/>
              </w:tabs>
              <w:jc w:val="center"/>
              <w:rPr>
                <w:i/>
                <w:color w:val="000000"/>
                <w:sz w:val="28"/>
                <w:szCs w:val="28"/>
                <w:lang w:val="pt-BR"/>
              </w:rPr>
            </w:pPr>
            <w:r w:rsidRPr="009C2B42">
              <w:rPr>
                <w:b/>
                <w:color w:val="000000"/>
                <w:sz w:val="28"/>
                <w:szCs w:val="28"/>
                <w:lang w:val="pt-BR"/>
              </w:rPr>
              <w:t>Đỗ Xuân Tuyên</w:t>
            </w:r>
          </w:p>
        </w:tc>
      </w:tr>
    </w:tbl>
    <w:p w:rsidR="00272D63" w:rsidRPr="00312038" w:rsidRDefault="00272D63" w:rsidP="00272D63">
      <w:pPr>
        <w:rPr>
          <w:b/>
          <w:sz w:val="28"/>
          <w:szCs w:val="28"/>
          <w:lang w:val="vi-VN"/>
        </w:rPr>
      </w:pPr>
    </w:p>
    <w:p w:rsidR="00272D63" w:rsidRPr="00312038" w:rsidRDefault="00272D63" w:rsidP="00272D63">
      <w:pPr>
        <w:rPr>
          <w:b/>
          <w:sz w:val="28"/>
          <w:szCs w:val="28"/>
          <w:lang w:val="vi-VN"/>
        </w:rPr>
      </w:pPr>
    </w:p>
    <w:p w:rsidR="00272D63" w:rsidRDefault="00272D63" w:rsidP="00272D63">
      <w:pPr>
        <w:rPr>
          <w:b/>
          <w:sz w:val="28"/>
          <w:szCs w:val="28"/>
          <w:lang w:val="pt-BR"/>
        </w:rPr>
      </w:pPr>
    </w:p>
    <w:p w:rsidR="00952F09" w:rsidRDefault="00952F09"/>
    <w:sectPr w:rsidR="0095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63"/>
    <w:rsid w:val="00272D63"/>
    <w:rsid w:val="0095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QUANG-PC</dc:creator>
  <cp:lastModifiedBy>QUANG-PC</cp:lastModifiedBy>
  <cp:revision>1</cp:revision>
  <dcterms:created xsi:type="dcterms:W3CDTF">2017-11-15T02:28:00Z</dcterms:created>
  <dcterms:modified xsi:type="dcterms:W3CDTF">2017-11-15T02:31:00Z</dcterms:modified>
</cp:coreProperties>
</file>